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w:body>
    <w:p>
      <w:pPr>
        <w:spacing w:line="560" w:lineRule="exact"/>
        <w:ind w:firstLine="0"/>
        <w:jc w:val="center"/>
        <w:rPr>
          <w:rFonts w:ascii="方正小标宋_GBK" w:eastAsia="方正小标宋_GBK"/>
          <w:sz w:val="44"/>
          <w:szCs w:val="44"/>
        </w:rPr>
      </w:pPr>
      <w:r>
        <w:rPr>
          <w:rFonts w:ascii="方正小标宋_GBK" w:eastAsia="方正小标宋_GBK" w:hint="eastAsia"/>
          <w:sz w:val="44"/>
          <w:szCs w:val="44"/>
        </w:rPr>
        <w:t>无锡市提升生态保护水平专项行动</w:t>
      </w:r>
    </w:p>
    <w:p>
      <w:pPr>
        <w:spacing w:line="560" w:lineRule="exact"/>
        <w:ind w:firstLine="0"/>
        <w:jc w:val="center"/>
        <w:rPr>
          <w:rFonts w:ascii="方正小标宋_GBK" w:eastAsia="方正小标宋_GBK"/>
          <w:sz w:val="44"/>
          <w:szCs w:val="44"/>
        </w:rPr>
      </w:pPr>
      <w:bookmarkStart w:id="0" w:name="_GoBack"/>
      <w:bookmarkEnd w:id="0"/>
      <w:r>
        <w:rPr>
          <w:rFonts w:ascii="方正小标宋_GBK" w:eastAsia="方正小标宋_GBK"/>
          <w:sz w:val="44"/>
          <w:szCs w:val="44"/>
        </w:rPr>
        <w:t>2017</w:t>
      </w:r>
      <w:r>
        <w:rPr>
          <w:rFonts w:ascii="方正小标宋_GBK" w:eastAsia="方正小标宋_GBK" w:hint="eastAsia"/>
          <w:sz w:val="44"/>
          <w:szCs w:val="44"/>
        </w:rPr>
        <w:t>年工作计划</w:t>
      </w:r>
    </w:p>
    <w:p>
      <w:pPr>
        <w:tabs>
          <w:tab w:val="left" w:pos="2040"/>
        </w:tabs>
        <w:overflowPunct w:val="0"/>
        <w:autoSpaceDE w:val="0"/>
        <w:autoSpaceDN w:val="0"/>
        <w:spacing w:line="560" w:lineRule="exact"/>
        <w:ind w:firstLineChars="200" w:firstLine="640"/>
        <w:rPr>
          <w:rFonts w:eastAsia="仿宋_GB2312"/>
          <w:szCs w:val="32"/>
        </w:rPr>
      </w:pPr>
      <w:r>
        <w:rPr>
          <w:rFonts w:eastAsia="仿宋_GB2312"/>
          <w:szCs w:val="32"/>
        </w:rPr>
        <w:tab/>
      </w:r>
    </w:p>
    <w:p>
      <w:pPr>
        <w:overflowPunct w:val="0"/>
        <w:autoSpaceDE w:val="0"/>
        <w:autoSpaceDN w:val="0"/>
        <w:spacing w:line="560" w:lineRule="exact"/>
        <w:ind w:firstLineChars="200" w:firstLine="640"/>
        <w:rPr>
          <w:rFonts w:ascii="仿宋" w:eastAsia="仿宋"/>
          <w:szCs w:val="32"/>
        </w:rPr>
      </w:pPr>
      <w:r>
        <w:rPr>
          <w:rFonts w:ascii="仿宋" w:eastAsia="仿宋" w:hint="eastAsia"/>
          <w:szCs w:val="32"/>
        </w:rPr>
        <w:t>根据《“两减六治三提升”专项行动方案》的部署，制定</w:t>
      </w:r>
      <w:r>
        <w:rPr>
          <w:rFonts w:ascii="仿宋" w:eastAsia="仿宋"/>
          <w:szCs w:val="32"/>
        </w:rPr>
        <w:t>2017</w:t>
      </w:r>
      <w:r>
        <w:rPr>
          <w:rFonts w:ascii="仿宋" w:eastAsia="仿宋" w:hint="eastAsia"/>
          <w:szCs w:val="32"/>
        </w:rPr>
        <w:t>年工作计划。</w:t>
      </w:r>
    </w:p>
    <w:p>
      <w:pPr>
        <w:overflowPunct w:val="0"/>
        <w:autoSpaceDE w:val="0"/>
        <w:autoSpaceDN w:val="0"/>
        <w:spacing w:line="560" w:lineRule="exact"/>
        <w:ind w:firstLineChars="200" w:firstLine="640"/>
        <w:rPr>
          <w:rFonts w:ascii="黑体" w:eastAsia="黑体"/>
          <w:szCs w:val="32"/>
        </w:rPr>
      </w:pPr>
      <w:r>
        <w:rPr>
          <w:rFonts w:ascii="黑体" w:eastAsia="黑体" w:hint="eastAsia"/>
          <w:szCs w:val="32"/>
        </w:rPr>
        <w:t>一、推进太湖生态保护圈建设</w:t>
      </w:r>
    </w:p>
    <w:p>
      <w:pPr>
        <w:overflowPunct w:val="0"/>
        <w:autoSpaceDE w:val="0"/>
        <w:autoSpaceDN w:val="0"/>
        <w:spacing w:line="560" w:lineRule="exact"/>
        <w:ind w:firstLineChars="200" w:firstLine="640"/>
        <w:rPr>
          <w:rFonts w:ascii="仿宋" w:eastAsia="仿宋"/>
          <w:szCs w:val="32"/>
        </w:rPr>
      </w:pPr>
      <w:r>
        <w:rPr>
          <w:rFonts w:ascii="仿宋" w:eastAsia="仿宋" w:hint="eastAsia"/>
          <w:szCs w:val="32"/>
        </w:rPr>
        <w:t>启动实施环太湖绿色生态廊道（一期）建设。开展湖泊岸线调查，编制环湖岸线及河口整治方案。加大自然湿地保护力度，实施以太湖流域湿地保护为重点的湿地修复工程。全市建成省级湿地公园</w:t>
      </w:r>
      <w:r>
        <w:rPr>
          <w:rFonts w:ascii="仿宋" w:eastAsia="仿宋"/>
          <w:szCs w:val="32"/>
        </w:rPr>
        <w:t>1</w:t>
      </w:r>
      <w:r>
        <w:rPr>
          <w:rFonts w:ascii="仿宋" w:eastAsia="仿宋" w:hint="eastAsia"/>
          <w:szCs w:val="32"/>
        </w:rPr>
        <w:t>个和湿地保护小区</w:t>
      </w:r>
      <w:r>
        <w:rPr>
          <w:rFonts w:ascii="仿宋" w:eastAsia="仿宋"/>
          <w:szCs w:val="32"/>
        </w:rPr>
        <w:t>2</w:t>
      </w:r>
      <w:r>
        <w:rPr>
          <w:rFonts w:ascii="仿宋" w:eastAsia="仿宋" w:hint="eastAsia"/>
          <w:szCs w:val="32"/>
        </w:rPr>
        <w:t>个，自然湿地保护率达到</w:t>
      </w:r>
      <w:r>
        <w:rPr>
          <w:rFonts w:ascii="仿宋" w:eastAsia="仿宋"/>
          <w:szCs w:val="32"/>
        </w:rPr>
        <w:t>50%</w:t>
      </w:r>
      <w:r>
        <w:rPr>
          <w:rFonts w:ascii="仿宋" w:eastAsia="仿宋" w:hint="eastAsia"/>
          <w:szCs w:val="32"/>
        </w:rPr>
        <w:t>以上。全市完成造林绿化</w:t>
      </w:r>
      <w:r>
        <w:rPr>
          <w:rFonts w:ascii="仿宋" w:eastAsia="仿宋"/>
          <w:szCs w:val="32"/>
        </w:rPr>
        <w:t>5000</w:t>
      </w:r>
      <w:r>
        <w:rPr>
          <w:rFonts w:ascii="仿宋" w:eastAsia="仿宋" w:hint="eastAsia"/>
          <w:szCs w:val="32"/>
        </w:rPr>
        <w:t>亩，森林抚育</w:t>
      </w:r>
      <w:r>
        <w:rPr>
          <w:rFonts w:ascii="仿宋" w:eastAsia="仿宋"/>
          <w:szCs w:val="32"/>
        </w:rPr>
        <w:t>5</w:t>
      </w:r>
      <w:r>
        <w:rPr>
          <w:rFonts w:ascii="仿宋" w:eastAsia="仿宋" w:hint="eastAsia"/>
          <w:szCs w:val="32"/>
        </w:rPr>
        <w:t>万亩，林木覆盖率达到</w:t>
      </w:r>
      <w:r>
        <w:rPr>
          <w:rFonts w:ascii="仿宋" w:eastAsia="仿宋"/>
          <w:szCs w:val="32"/>
        </w:rPr>
        <w:t>27%</w:t>
      </w:r>
      <w:r>
        <w:rPr>
          <w:rFonts w:ascii="仿宋" w:eastAsia="仿宋" w:hint="eastAsia"/>
          <w:szCs w:val="32"/>
        </w:rPr>
        <w:t>。按照省统一部署，推进以水生态环境功能保护为目标的分区、分级、分类、分期管理试点工作。根据国家禁养区划定技术要求，修改和完善无锡市区、宜兴市、江阴市畜禽养殖禁养区划定方案。推广生态、循环、绿色农业发展模式。</w:t>
      </w:r>
    </w:p>
    <w:p>
      <w:pPr>
        <w:overflowPunct w:val="0"/>
        <w:autoSpaceDE w:val="0"/>
        <w:autoSpaceDN w:val="0"/>
        <w:spacing w:line="560" w:lineRule="exact"/>
        <w:ind w:firstLineChars="200" w:firstLine="640"/>
        <w:rPr>
          <w:rFonts w:ascii="黑体" w:eastAsia="黑体"/>
          <w:szCs w:val="32"/>
        </w:rPr>
      </w:pPr>
      <w:r>
        <w:rPr>
          <w:rFonts w:ascii="黑体" w:eastAsia="黑体" w:hint="eastAsia"/>
          <w:szCs w:val="32"/>
        </w:rPr>
        <w:t>二、加强江阴长江生态安全带建设</w:t>
      </w:r>
    </w:p>
    <w:p>
      <w:pPr>
        <w:overflowPunct w:val="0"/>
        <w:autoSpaceDE w:val="0"/>
        <w:autoSpaceDN w:val="0"/>
        <w:spacing w:line="560" w:lineRule="exact"/>
        <w:ind w:firstLineChars="200" w:firstLine="640"/>
        <w:rPr>
          <w:rFonts w:ascii="仿宋" w:eastAsia="仿宋"/>
          <w:szCs w:val="32"/>
        </w:rPr>
      </w:pPr>
      <w:r>
        <w:rPr>
          <w:rFonts w:ascii="仿宋" w:eastAsia="仿宋" w:hint="eastAsia"/>
          <w:szCs w:val="32"/>
        </w:rPr>
        <w:t>出台《江阴市长江生态安全带建设实施方案》。排查长江岸线保护区违法违规或不符合岸线保护区管理要求的已建项目，启动清理工作。全面完成肖山、小湾集中式饮用水水源地保护区内违法违规设施排查，形成整治方案，完成窑港集中式饮用水水源地保护区整治任务。全面排查长江干流及入江支流排污口，对不满足水功能区管理要求和影响取水安全的排污口限期整改。完成现有应急水源地评估工作，编制完成应急水源即时启用或多水源切换的应急预案。落实全省生态红线区域管理暂行办法，加强对生态红线区域的监督管理。加强重要湿地保护，江阴市自然湿地保护率达到</w:t>
      </w:r>
      <w:r>
        <w:rPr>
          <w:rFonts w:ascii="仿宋" w:eastAsia="仿宋"/>
          <w:szCs w:val="32"/>
        </w:rPr>
        <w:t>22%</w:t>
      </w:r>
      <w:r>
        <w:rPr>
          <w:rFonts w:ascii="仿宋" w:eastAsia="仿宋" w:hint="eastAsia"/>
          <w:szCs w:val="32"/>
        </w:rPr>
        <w:t>。完成生态防护林建设</w:t>
      </w:r>
      <w:r>
        <w:rPr>
          <w:rFonts w:ascii="仿宋" w:eastAsia="仿宋"/>
          <w:szCs w:val="32"/>
        </w:rPr>
        <w:t xml:space="preserve">    </w:t>
      </w:r>
      <w:r>
        <w:rPr>
          <w:rFonts w:ascii="仿宋" w:eastAsia="仿宋" w:hint="eastAsia"/>
          <w:szCs w:val="32"/>
        </w:rPr>
        <w:t>ⅩⅩ亩。</w:t>
      </w:r>
    </w:p>
    <w:p>
      <w:pPr>
        <w:overflowPunct w:val="0"/>
        <w:autoSpaceDE w:val="0"/>
        <w:autoSpaceDN w:val="0"/>
        <w:spacing w:line="560" w:lineRule="exact"/>
        <w:ind w:firstLineChars="200" w:firstLine="640"/>
        <w:rPr>
          <w:rFonts w:ascii="黑体" w:eastAsia="黑体"/>
          <w:szCs w:val="32"/>
        </w:rPr>
      </w:pPr>
      <w:r>
        <w:rPr>
          <w:rFonts w:ascii="黑体" w:eastAsia="黑体" w:hint="eastAsia"/>
          <w:szCs w:val="32"/>
        </w:rPr>
        <w:t>三、开展宜兴生态保护引领区建设</w:t>
      </w:r>
    </w:p>
    <w:p>
      <w:pPr>
        <w:overflowPunct w:val="0"/>
        <w:autoSpaceDE w:val="0"/>
        <w:autoSpaceDN w:val="0"/>
        <w:spacing w:line="560" w:lineRule="exact"/>
        <w:ind w:firstLineChars="200" w:firstLine="640"/>
        <w:rPr>
          <w:rFonts w:ascii="仿宋" w:eastAsia="仿宋"/>
          <w:szCs w:val="32"/>
        </w:rPr>
      </w:pPr>
      <w:r>
        <w:rPr>
          <w:rFonts w:ascii="仿宋" w:eastAsia="仿宋" w:hint="eastAsia"/>
          <w:szCs w:val="32"/>
        </w:rPr>
        <w:t>开展生态保护引领区调研，出台《宜兴市生态保护引领区建设实施方案》，明确目标、定位和重点任务，启动建设工作。划定并严守城市边界、耕地保护和生态保护红线，强化龙池山自然保护区规范建设。加快推动生产方式绿色化，建立产业引进类别“白名单”制度。完成大气、水、土壤污染防治年度任务，确保本区域环境质量不退化、不降级，并有明显持续的改善。继续完善自然资产负债表编制工作，开展领导干部自然资源离任审计制度。鼓励宜兴有条件的地区，率先开展生态保护引领乡镇（街道）、园区、村试点，出台《宜兴市生态文明建设规划（修编）》，完成生态文明建设示范乡镇（街道）、村的年度创建任务。</w:t>
      </w:r>
    </w:p>
    <w:p>
      <w:pPr>
        <w:widowControl/>
        <w:autoSpaceDE/>
        <w:autoSpaceDN/>
        <w:snapToGrid/>
        <w:spacing w:line="240" w:lineRule="auto"/>
        <w:ind w:firstLine="0"/>
        <w:jc w:val="left"/>
        <w:rPr>
          <w:rFonts w:ascii="仿宋" w:eastAsia="仿宋"/>
          <w:snapToGrid w:val="0"/>
          <w:sz w:val="20"/>
        </w:rPr>
        <w:sectPr>
          <w:pgSz w:w="11906" w:h="16838"/>
          <w:pgMar w:top="1985" w:right="1588" w:bottom="1871" w:left="1588" w:header="851" w:footer="992" w:gutter="0"/>
          <w:docGrid w:type="lines" w:linePitch="435" w:charSpace="0"/>
        </w:sectPr>
      </w:pPr>
      <w:r>
        <w:rPr>
          <w:rFonts w:ascii="仿宋" w:eastAsia="仿宋" w:hint="eastAsia"/>
          <w:snapToGrid w:val="0"/>
          <w:sz w:val="20"/>
        </w:rPr>
        <w:t>。</w:t>
      </w:r>
    </w:p>
    <w:tbl>
      <w:tblPr>
        <w:jc w:val="left"/>
        <w:tblInd w:w="96" w:type="dxa"/>
        <w:tblW w:w="1319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21"/>
        <w:gridCol w:w="1053"/>
        <w:gridCol w:w="7229"/>
        <w:gridCol w:w="709"/>
        <w:gridCol w:w="1073"/>
        <w:gridCol w:w="2410"/>
      </w:tblGrid>
      <w:tr>
        <w:trPr>
          <w:trHeight w:val="465"/>
        </w:trPr>
        <w:tc>
          <w:tcPr>
            <w:tcW w:w="13195" w:type="dxa"/>
            <w:gridSpan w:val="6"/>
            <w:tcBorders>
              <w:top w:val="nil"/>
              <w:left w:val="nil"/>
              <w:bottom w:val="single" w:sz="4" w:space="0" w:color="auto"/>
              <w:right w:val="nil"/>
            </w:tcBorders>
            <w:vAlign w:val="center"/>
          </w:tcPr>
          <w:p>
            <w:pPr>
              <w:widowControl/>
              <w:autoSpaceDE/>
              <w:autoSpaceDN/>
              <w:snapToGrid/>
              <w:spacing w:line="240" w:lineRule="auto"/>
              <w:ind w:firstLine="0"/>
              <w:jc w:val="center"/>
              <w:rPr>
                <w:rFonts w:eastAsia="宋体"/>
                <w:b/>
                <w:bCs/>
                <w:color w:val="000000"/>
                <w:sz w:val="36"/>
                <w:szCs w:val="36"/>
              </w:rPr>
            </w:pPr>
            <w:r>
              <w:rPr>
                <w:rFonts w:eastAsia="宋体" w:hint="eastAsia"/>
                <w:b/>
                <w:bCs/>
                <w:color w:val="000000"/>
                <w:sz w:val="36"/>
                <w:szCs w:val="36"/>
              </w:rPr>
              <w:t>无锡市</w:t>
            </w:r>
            <w:r>
              <w:rPr>
                <w:rFonts w:eastAsia="宋体"/>
                <w:b/>
                <w:bCs/>
                <w:color w:val="000000"/>
                <w:sz w:val="36"/>
                <w:szCs w:val="36"/>
              </w:rPr>
              <w:t>2017</w:t>
            </w:r>
            <w:r>
              <w:rPr>
                <w:rFonts w:ascii="宋体" w:eastAsia="宋体" w:hint="eastAsia"/>
                <w:b/>
                <w:bCs/>
                <w:color w:val="000000"/>
                <w:sz w:val="36"/>
                <w:szCs w:val="36"/>
              </w:rPr>
              <w:t>年“提升生态保护水平”政策措施落实表（“三提升”）</w:t>
            </w:r>
          </w:p>
        </w:tc>
      </w:tr>
      <w:tr>
        <w:trPr>
          <w:trHeight w:val="655"/>
        </w:trPr>
        <w:tc>
          <w:tcPr>
            <w:tcW w:w="721" w:type="dxa"/>
            <w:tcBorders>
              <w:top w:val="nil"/>
              <w:left w:val="single" w:sz="4" w:space="0" w:color="auto"/>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序号</w:t>
            </w:r>
          </w:p>
        </w:tc>
        <w:tc>
          <w:tcPr>
            <w:tcW w:w="105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环境管理制度</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落实措施</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完成时限</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责任部门</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参与部门</w:t>
            </w:r>
          </w:p>
        </w:tc>
      </w:tr>
      <w:tr>
        <w:trPr>
          <w:trHeight w:val="450"/>
        </w:trPr>
        <w:tc>
          <w:tcPr>
            <w:tcW w:w="721" w:type="dxa"/>
            <w:vMerge w:val="restart"/>
            <w:tcBorders>
              <w:top w:val="nil"/>
              <w:left w:val="single" w:sz="4" w:space="0" w:color="auto"/>
              <w:bottom w:val="single" w:sz="4" w:space="0" w:color="000000"/>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1</w:t>
            </w:r>
          </w:p>
        </w:tc>
        <w:tc>
          <w:tcPr>
            <w:tcW w:w="1053" w:type="dxa"/>
            <w:vMerge w:val="restart"/>
            <w:tcBorders>
              <w:top w:val="nil"/>
              <w:left w:val="single" w:sz="4" w:space="0" w:color="auto"/>
              <w:bottom w:val="single" w:sz="4" w:space="0" w:color="000000"/>
              <w:right w:val="single" w:sz="4" w:space="0" w:color="auto"/>
            </w:tcBorders>
            <w:shd w:val="clear" w:color="000000" w:fill="FFFFFF"/>
            <w:vAlign w:val="center"/>
          </w:tcPr>
          <w:p>
            <w:pPr>
              <w:widowControl/>
              <w:autoSpaceDE/>
              <w:autoSpaceDN/>
              <w:snapToGrid/>
              <w:spacing w:line="240" w:lineRule="auto"/>
              <w:ind w:rightChars="55" w:right="176" w:firstLine="0"/>
              <w:jc w:val="center"/>
              <w:rPr>
                <w:rFonts w:eastAsia="宋体"/>
                <w:color w:val="000000"/>
                <w:sz w:val="22"/>
                <w:szCs w:val="22"/>
              </w:rPr>
            </w:pPr>
            <w:r>
              <w:rPr>
                <w:rFonts w:ascii="宋体" w:eastAsia="宋体" w:hint="eastAsia"/>
                <w:color w:val="000000"/>
                <w:sz w:val="22"/>
                <w:szCs w:val="22"/>
              </w:rPr>
              <w:t>构建环湖生态屏障</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推进环太湖绿色生态廊道建设（一期），编制方案，启动实施。</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农委</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相关市（县）区政府</w:t>
            </w:r>
          </w:p>
        </w:tc>
      </w:tr>
      <w:tr>
        <w:trPr>
          <w:trHeight w:val="1080"/>
        </w:trPr>
        <w:tc>
          <w:tcPr>
            <w:tcW w:w="721" w:type="dxa"/>
            <w:vMerge/>
            <w:tcBorders>
              <w:top w:val="nil"/>
              <w:left w:val="single" w:sz="4" w:space="0" w:color="auto"/>
              <w:bottom w:val="single" w:sz="4" w:space="0" w:color="000000"/>
              <w:right w:val="single" w:sz="4" w:space="0" w:color="auto"/>
            </w:tcBorders>
            <w:vAlign w:val="center"/>
          </w:tcPr>
          <w:p/>
        </w:tc>
        <w:tc>
          <w:tcPr>
            <w:tcW w:w="1053" w:type="dxa"/>
            <w:vMerge/>
            <w:tcBorders>
              <w:top w:val="nil"/>
              <w:left w:val="single" w:sz="4" w:space="0" w:color="auto"/>
              <w:bottom w:val="single" w:sz="4" w:space="0" w:color="000000"/>
              <w:right w:val="single" w:sz="4" w:space="0" w:color="auto"/>
            </w:tcBorders>
            <w:vAlign w:val="center"/>
          </w:tcP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开展湖泊岸线调查，编制环湖岸线及河口整治方案。</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水利局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交通运输局、国土局、环保局、规划局、住建局、相关市（县）区政府</w:t>
            </w:r>
          </w:p>
        </w:tc>
      </w:tr>
      <w:tr>
        <w:trPr>
          <w:trHeight w:val="1410"/>
        </w:trPr>
        <w:tc>
          <w:tcPr>
            <w:tcW w:w="721" w:type="dxa"/>
            <w:vMerge/>
            <w:tcBorders>
              <w:top w:val="nil"/>
              <w:left w:val="single" w:sz="4" w:space="0" w:color="auto"/>
              <w:bottom w:val="single" w:sz="4" w:space="0" w:color="000000"/>
              <w:right w:val="single" w:sz="4" w:space="0" w:color="auto"/>
            </w:tcBorders>
            <w:vAlign w:val="center"/>
          </w:tcPr>
          <w:p/>
        </w:tc>
        <w:tc>
          <w:tcPr>
            <w:tcW w:w="1053" w:type="dxa"/>
            <w:vMerge/>
            <w:tcBorders>
              <w:top w:val="nil"/>
              <w:left w:val="single" w:sz="4" w:space="0" w:color="auto"/>
              <w:bottom w:val="single" w:sz="4" w:space="0" w:color="000000"/>
              <w:right w:val="single" w:sz="4" w:space="0" w:color="auto"/>
            </w:tcBorders>
            <w:vAlign w:val="center"/>
          </w:tcP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eastAsia="宋体"/>
                <w:color w:val="000000"/>
                <w:sz w:val="22"/>
                <w:szCs w:val="22"/>
              </w:rPr>
            </w:pPr>
            <w:r>
              <w:rPr>
                <w:rFonts w:ascii="宋体" w:eastAsia="宋体" w:hint="eastAsia"/>
                <w:color w:val="000000"/>
                <w:sz w:val="22"/>
                <w:szCs w:val="22"/>
              </w:rPr>
              <w:t>加大自然湿地保护力度，实施以太湖流域湿地保护为重点的湿地修复工程。全市建成省级湿地公园</w:t>
            </w:r>
            <w:r>
              <w:rPr>
                <w:rFonts w:ascii="宋体" w:eastAsia="宋体"/>
                <w:color w:val="000000"/>
                <w:sz w:val="22"/>
                <w:szCs w:val="22"/>
              </w:rPr>
              <w:t>1</w:t>
            </w:r>
            <w:r>
              <w:rPr>
                <w:rFonts w:ascii="宋体" w:eastAsia="宋体" w:hint="eastAsia"/>
                <w:color w:val="000000"/>
                <w:sz w:val="22"/>
                <w:szCs w:val="22"/>
              </w:rPr>
              <w:t>个和湿地保护小区</w:t>
            </w:r>
            <w:r>
              <w:rPr>
                <w:rFonts w:ascii="宋体" w:eastAsia="宋体"/>
                <w:color w:val="000000"/>
                <w:sz w:val="22"/>
                <w:szCs w:val="22"/>
              </w:rPr>
              <w:t>2</w:t>
            </w:r>
            <w:r>
              <w:rPr>
                <w:rFonts w:ascii="宋体" w:eastAsia="宋体" w:hint="eastAsia"/>
                <w:color w:val="000000"/>
                <w:sz w:val="22"/>
                <w:szCs w:val="22"/>
              </w:rPr>
              <w:t>个，自然湿地保护率达到</w:t>
            </w:r>
            <w:r>
              <w:rPr>
                <w:rFonts w:ascii="宋体" w:eastAsia="宋体"/>
                <w:color w:val="000000"/>
                <w:sz w:val="22"/>
                <w:szCs w:val="22"/>
              </w:rPr>
              <w:t>50%</w:t>
            </w:r>
            <w:r>
              <w:rPr>
                <w:rFonts w:ascii="宋体" w:eastAsia="宋体" w:hint="eastAsia"/>
                <w:color w:val="000000"/>
                <w:sz w:val="22"/>
                <w:szCs w:val="22"/>
              </w:rPr>
              <w:t>以上。全市完成造林绿化</w:t>
            </w:r>
            <w:r>
              <w:rPr>
                <w:rFonts w:ascii="宋体" w:eastAsia="宋体"/>
                <w:color w:val="000000"/>
                <w:sz w:val="22"/>
                <w:szCs w:val="22"/>
              </w:rPr>
              <w:t>5000</w:t>
            </w:r>
            <w:r>
              <w:rPr>
                <w:rFonts w:ascii="宋体" w:eastAsia="宋体" w:hint="eastAsia"/>
                <w:color w:val="000000"/>
                <w:sz w:val="22"/>
                <w:szCs w:val="22"/>
              </w:rPr>
              <w:t>亩，森林抚育</w:t>
            </w:r>
            <w:r>
              <w:rPr>
                <w:rFonts w:ascii="宋体" w:eastAsia="宋体"/>
                <w:color w:val="000000"/>
                <w:sz w:val="22"/>
                <w:szCs w:val="22"/>
              </w:rPr>
              <w:t>5</w:t>
            </w:r>
            <w:r>
              <w:rPr>
                <w:rFonts w:ascii="宋体" w:eastAsia="宋体" w:hint="eastAsia"/>
                <w:color w:val="000000"/>
                <w:sz w:val="22"/>
                <w:szCs w:val="22"/>
              </w:rPr>
              <w:t>万亩，林木覆盖率达到</w:t>
            </w:r>
            <w:r>
              <w:rPr>
                <w:rFonts w:ascii="宋体" w:eastAsia="宋体"/>
                <w:color w:val="000000"/>
                <w:sz w:val="22"/>
                <w:szCs w:val="22"/>
              </w:rPr>
              <w:t>27%</w:t>
            </w:r>
            <w:r>
              <w:rPr>
                <w:rFonts w:ascii="宋体" w:eastAsia="宋体" w:hint="eastAsia"/>
                <w:color w:val="000000"/>
                <w:sz w:val="22"/>
                <w:szCs w:val="22"/>
              </w:rPr>
              <w:t>。</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农委</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市政和园林局、相关市（县）区政府</w:t>
            </w:r>
          </w:p>
        </w:tc>
      </w:tr>
      <w:tr>
        <w:trPr>
          <w:trHeight w:val="1380"/>
        </w:trPr>
        <w:tc>
          <w:tcPr>
            <w:tcW w:w="721" w:type="dxa"/>
            <w:tcBorders>
              <w:top w:val="nil"/>
              <w:left w:val="single" w:sz="4" w:space="0" w:color="auto"/>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w:t>
            </w:r>
          </w:p>
        </w:tc>
        <w:tc>
          <w:tcPr>
            <w:tcW w:w="105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生态红线区域监管工程</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出台《无锡市生态红线区域保护规划》，制定并落实监督考核办法及考核细则，相关部门做好职责范围内的生态红线区域监管工作，确保生态红线区域面积不减少、质量不下降。建立健全生态红线区域生态状况监控，加强生态红线区域信息系统与政府电子信息平台相联结。</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环保局、财政局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br/>
            </w:r>
            <w:r>
              <w:rPr>
                <w:rFonts w:ascii="宋体" w:eastAsia="宋体" w:hint="eastAsia"/>
                <w:color w:val="000000"/>
                <w:sz w:val="22"/>
                <w:szCs w:val="22"/>
              </w:rPr>
              <w:t>国土局、规划局、农委、住建局、水利局、</w:t>
            </w:r>
            <w:r>
              <w:rPr>
                <w:rFonts w:ascii="宋体" w:eastAsia="宋体"/>
                <w:color w:val="000000"/>
                <w:sz w:val="22"/>
                <w:szCs w:val="22"/>
              </w:rPr>
              <w:br/>
            </w:r>
            <w:r>
              <w:rPr>
                <w:rFonts w:ascii="宋体" w:eastAsia="宋体" w:hint="eastAsia"/>
                <w:color w:val="000000"/>
                <w:sz w:val="22"/>
                <w:szCs w:val="22"/>
              </w:rPr>
              <w:t>相关市（县）区政府</w:t>
            </w:r>
          </w:p>
        </w:tc>
      </w:tr>
      <w:tr>
        <w:trPr>
          <w:trHeight w:val="1080"/>
        </w:trPr>
        <w:tc>
          <w:tcPr>
            <w:tcW w:w="721" w:type="dxa"/>
            <w:tcBorders>
              <w:top w:val="nil"/>
              <w:left w:val="single" w:sz="4" w:space="0" w:color="auto"/>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3</w:t>
            </w:r>
          </w:p>
        </w:tc>
        <w:tc>
          <w:tcPr>
            <w:tcW w:w="105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优化空间格局工程</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eastAsia="宋体"/>
                <w:color w:val="000000"/>
                <w:sz w:val="22"/>
                <w:szCs w:val="22"/>
              </w:rPr>
            </w:pPr>
            <w:r>
              <w:rPr>
                <w:rFonts w:ascii="宋体" w:eastAsia="宋体" w:hint="eastAsia"/>
                <w:color w:val="000000"/>
                <w:sz w:val="22"/>
                <w:szCs w:val="22"/>
              </w:rPr>
              <w:t>严格落实《无锡市主体功能区实施计划》，构建</w:t>
            </w:r>
            <w:r>
              <w:rPr>
                <w:rFonts w:eastAsia="宋体"/>
                <w:color w:val="000000"/>
                <w:sz w:val="22"/>
                <w:szCs w:val="22"/>
              </w:rPr>
              <w:t>“</w:t>
            </w:r>
            <w:r>
              <w:rPr>
                <w:rFonts w:ascii="宋体" w:eastAsia="宋体" w:hint="eastAsia"/>
                <w:color w:val="000000"/>
                <w:sz w:val="22"/>
                <w:szCs w:val="22"/>
              </w:rPr>
              <w:t>一主两副、十二片</w:t>
            </w:r>
            <w:r>
              <w:rPr>
                <w:rFonts w:eastAsia="宋体"/>
                <w:color w:val="000000"/>
                <w:sz w:val="22"/>
                <w:szCs w:val="22"/>
              </w:rPr>
              <w:t>”</w:t>
            </w:r>
            <w:r>
              <w:rPr>
                <w:rFonts w:ascii="宋体" w:eastAsia="宋体" w:hint="eastAsia"/>
                <w:color w:val="000000"/>
                <w:sz w:val="22"/>
                <w:szCs w:val="22"/>
              </w:rPr>
              <w:t>的开发格局，引导优化提升区域、重点拓展区域、适度发展区域和限制开发区域按主体功能分类发展，优化生态、生产、生活三类空间。</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发改委</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国土局、住建局、</w:t>
            </w:r>
            <w:r>
              <w:rPr>
                <w:rFonts w:ascii="宋体" w:eastAsia="宋体"/>
                <w:color w:val="000000"/>
                <w:sz w:val="22"/>
                <w:szCs w:val="22"/>
              </w:rPr>
              <w:br/>
            </w:r>
            <w:r>
              <w:rPr>
                <w:rFonts w:ascii="宋体" w:eastAsia="宋体" w:hint="eastAsia"/>
                <w:color w:val="000000"/>
                <w:sz w:val="22"/>
                <w:szCs w:val="22"/>
              </w:rPr>
              <w:t>环保局、规划局、</w:t>
            </w:r>
            <w:r>
              <w:rPr>
                <w:rFonts w:ascii="宋体" w:eastAsia="宋体"/>
                <w:color w:val="000000"/>
                <w:sz w:val="22"/>
                <w:szCs w:val="22"/>
              </w:rPr>
              <w:br/>
            </w:r>
            <w:r>
              <w:rPr>
                <w:rFonts w:ascii="宋体" w:eastAsia="宋体" w:hint="eastAsia"/>
                <w:color w:val="000000"/>
                <w:sz w:val="22"/>
                <w:szCs w:val="22"/>
              </w:rPr>
              <w:t>相关市（县）区政府</w:t>
            </w:r>
          </w:p>
        </w:tc>
      </w:tr>
      <w:tr>
        <w:trPr>
          <w:trHeight w:val="1080"/>
        </w:trPr>
        <w:tc>
          <w:tcPr>
            <w:tcW w:w="721" w:type="dxa"/>
            <w:tcBorders>
              <w:top w:val="nil"/>
              <w:left w:val="single" w:sz="4" w:space="0" w:color="auto"/>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4</w:t>
            </w:r>
          </w:p>
        </w:tc>
        <w:tc>
          <w:tcPr>
            <w:tcW w:w="105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olor w:val="000000"/>
                <w:sz w:val="22"/>
                <w:szCs w:val="22"/>
              </w:rPr>
            </w:pPr>
            <w:r>
              <w:rPr>
                <w:rFonts w:ascii="宋体" w:eastAsia="宋体" w:hint="eastAsia"/>
                <w:color w:val="000000"/>
                <w:sz w:val="22"/>
                <w:szCs w:val="22"/>
              </w:rPr>
              <w:t>实施水生态环境功能分区管理</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olor w:val="000000"/>
                <w:sz w:val="22"/>
                <w:szCs w:val="22"/>
              </w:rPr>
            </w:pPr>
            <w:r>
              <w:rPr>
                <w:rFonts w:ascii="宋体" w:eastAsia="宋体" w:hint="eastAsia"/>
                <w:color w:val="000000"/>
                <w:sz w:val="22"/>
                <w:szCs w:val="22"/>
              </w:rPr>
              <w:t>按照省统一部署，推进以水生态环境功能保护为目标的分区、分级、分类、分期管理试点工作。</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olor w:val="000000"/>
                <w:sz w:val="22"/>
                <w:szCs w:val="22"/>
              </w:rPr>
            </w:pPr>
            <w:r>
              <w:rPr>
                <w:rFonts w:ascii="宋体" w:eastAsia="宋体" w:hint="eastAsia"/>
                <w:color w:val="000000"/>
                <w:sz w:val="22"/>
                <w:szCs w:val="22"/>
              </w:rPr>
              <w:t>环保局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olor w:val="000000"/>
                <w:sz w:val="22"/>
                <w:szCs w:val="22"/>
              </w:rPr>
            </w:pPr>
            <w:r>
              <w:rPr>
                <w:rFonts w:ascii="宋体" w:eastAsia="宋体" w:hint="eastAsia"/>
                <w:color w:val="000000"/>
                <w:sz w:val="22"/>
                <w:szCs w:val="22"/>
              </w:rPr>
              <w:t>水利局、相关市（县）区政府</w:t>
            </w:r>
          </w:p>
        </w:tc>
      </w:tr>
      <w:tr>
        <w:trPr>
          <w:trHeight w:val="1095"/>
        </w:trPr>
        <w:tc>
          <w:tcPr>
            <w:tcW w:w="721" w:type="dxa"/>
            <w:tcBorders>
              <w:top w:val="nil"/>
              <w:left w:val="single" w:sz="4" w:space="0" w:color="auto"/>
              <w:bottom w:val="single" w:sz="4" w:space="0" w:color="000000"/>
              <w:right w:val="single" w:sz="4" w:space="0" w:color="auto"/>
            </w:tcBorders>
            <w:vAlign w:val="center"/>
          </w:tcPr>
          <w:p>
            <w:pPr>
              <w:widowControl/>
              <w:autoSpaceDE/>
              <w:autoSpaceDN/>
              <w:snapToGrid/>
              <w:spacing w:line="240" w:lineRule="auto"/>
              <w:ind w:firstLineChars="100" w:firstLine="220"/>
              <w:jc w:val="left"/>
              <w:rPr>
                <w:rFonts w:eastAsia="宋体"/>
                <w:color w:val="000000"/>
                <w:sz w:val="22"/>
                <w:szCs w:val="22"/>
              </w:rPr>
            </w:pPr>
            <w:r>
              <w:rPr>
                <w:rFonts w:eastAsia="宋体"/>
                <w:color w:val="000000"/>
                <w:sz w:val="22"/>
                <w:szCs w:val="22"/>
              </w:rPr>
              <w:t>5</w:t>
            </w:r>
          </w:p>
        </w:tc>
        <w:tc>
          <w:tcPr>
            <w:tcW w:w="1053" w:type="dxa"/>
            <w:tcBorders>
              <w:top w:val="nil"/>
              <w:left w:val="single" w:sz="4" w:space="0" w:color="auto"/>
              <w:bottom w:val="single" w:sz="4" w:space="0" w:color="000000"/>
              <w:right w:val="single" w:sz="4" w:space="0" w:color="auto"/>
            </w:tcBorders>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全面提升全流域生态优势</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推广生态、循环、绿色农业发展模式，重点实施农业清洁生产、农业废弃物资源利用等重点工程，将太湖一级保护区打造成生态循环农业基地。修改和完善无锡市区、宜兴市、江阴市畜禽禁养区划定方案。</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农委、环保局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相关市（县）区政府</w:t>
            </w:r>
          </w:p>
        </w:tc>
      </w:tr>
      <w:tr>
        <w:trPr>
          <w:trHeight w:val="630"/>
        </w:trPr>
        <w:tc>
          <w:tcPr>
            <w:tcW w:w="721" w:type="dxa"/>
            <w:tcBorders>
              <w:top w:val="nil"/>
              <w:left w:val="single" w:sz="4" w:space="0" w:color="auto"/>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6</w:t>
            </w:r>
          </w:p>
        </w:tc>
        <w:tc>
          <w:tcPr>
            <w:tcW w:w="105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长江生态安全带规划方案</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江阴市政府出台长江生态安全带建设实施方案，并贯彻落实。</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环保局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　江阴市政府</w:t>
            </w:r>
          </w:p>
        </w:tc>
      </w:tr>
      <w:tr>
        <w:trPr>
          <w:trHeight w:val="1080"/>
        </w:trPr>
        <w:tc>
          <w:tcPr>
            <w:tcW w:w="721" w:type="dxa"/>
            <w:tcBorders>
              <w:top w:val="nil"/>
              <w:left w:val="single" w:sz="4" w:space="0" w:color="auto"/>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7</w:t>
            </w:r>
          </w:p>
        </w:tc>
        <w:tc>
          <w:tcPr>
            <w:tcW w:w="105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合理有序利用岸线资源</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实施长江江阴段干线开发实施总量控制，岸线开发利用率逐步降至省定目标以下。排查岸线保护区内违法违规或不符合岸线保护区管理要求的已建项目，启动清理工作。</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发改委、水利局、国土局、江阴海事局、交通运输局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环保局、江阴市政府</w:t>
            </w:r>
          </w:p>
        </w:tc>
      </w:tr>
      <w:tr>
        <w:trPr>
          <w:trHeight w:val="810"/>
        </w:trPr>
        <w:tc>
          <w:tcPr>
            <w:tcW w:w="721" w:type="dxa"/>
            <w:vMerge w:val="restart"/>
            <w:tcBorders>
              <w:top w:val="nil"/>
              <w:left w:val="single" w:sz="4" w:space="0" w:color="auto"/>
              <w:bottom w:val="single" w:sz="4" w:space="0" w:color="000000"/>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8</w:t>
            </w:r>
          </w:p>
        </w:tc>
        <w:tc>
          <w:tcPr>
            <w:tcW w:w="1053" w:type="dxa"/>
            <w:vMerge w:val="restart"/>
            <w:tcBorders>
              <w:top w:val="nil"/>
              <w:left w:val="single" w:sz="4" w:space="0" w:color="auto"/>
              <w:bottom w:val="single" w:sz="4" w:space="0" w:color="000000"/>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加强饮用水源地保护</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深入实施饮用水水源地专项整治，全面完成集中式饮用水源地保护区内违法违规设施排查，形成整治方案，全面取缔集中式饮用水水源地保护区内的违法违规设施。</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环保局、水利局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江阴市政府</w:t>
            </w:r>
          </w:p>
        </w:tc>
      </w:tr>
      <w:tr>
        <w:trPr>
          <w:trHeight w:val="540"/>
        </w:trPr>
        <w:tc>
          <w:tcPr>
            <w:tcW w:w="721" w:type="dxa"/>
            <w:vMerge/>
            <w:tcBorders>
              <w:top w:val="nil"/>
              <w:left w:val="single" w:sz="4" w:space="0" w:color="auto"/>
              <w:bottom w:val="single" w:sz="4" w:space="0" w:color="000000"/>
              <w:right w:val="single" w:sz="4" w:space="0" w:color="auto"/>
            </w:tcBorders>
            <w:vAlign w:val="center"/>
          </w:tcPr>
          <w:p/>
        </w:tc>
        <w:tc>
          <w:tcPr>
            <w:tcW w:w="1053" w:type="dxa"/>
            <w:vMerge/>
            <w:tcBorders>
              <w:top w:val="nil"/>
              <w:left w:val="single" w:sz="4" w:space="0" w:color="auto"/>
              <w:bottom w:val="single" w:sz="4" w:space="0" w:color="000000"/>
              <w:right w:val="single" w:sz="4" w:space="0" w:color="auto"/>
            </w:tcBorders>
            <w:vAlign w:val="center"/>
          </w:tcP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全面排查长江干流及入江支流排污口，对不满足水功能区管理要求和影响取水安全的排污口限期整改。</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环保局、水利局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江阴市政府</w:t>
            </w:r>
          </w:p>
        </w:tc>
      </w:tr>
      <w:tr>
        <w:trPr>
          <w:trHeight w:val="810"/>
        </w:trPr>
        <w:tc>
          <w:tcPr>
            <w:tcW w:w="721" w:type="dxa"/>
            <w:vMerge/>
            <w:tcBorders>
              <w:top w:val="nil"/>
              <w:left w:val="single" w:sz="4" w:space="0" w:color="auto"/>
              <w:bottom w:val="single" w:sz="4" w:space="0" w:color="000000"/>
              <w:right w:val="single" w:sz="4" w:space="0" w:color="auto"/>
            </w:tcBorders>
            <w:vAlign w:val="center"/>
          </w:tcPr>
          <w:p/>
        </w:tc>
        <w:tc>
          <w:tcPr>
            <w:tcW w:w="1053" w:type="dxa"/>
            <w:vMerge/>
            <w:tcBorders>
              <w:top w:val="nil"/>
              <w:left w:val="single" w:sz="4" w:space="0" w:color="auto"/>
              <w:bottom w:val="single" w:sz="4" w:space="0" w:color="000000"/>
              <w:right w:val="single" w:sz="4" w:space="0" w:color="auto"/>
            </w:tcBorders>
            <w:vAlign w:val="center"/>
          </w:tcP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全面完成肖山、小湾集中式饮用水水源地保护区内违法违规设施排查，形成整治方案，完成窑港集中式饮用水水源地保护区整治任务。</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水利局、环保局、公安局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江阴市政府</w:t>
            </w:r>
          </w:p>
        </w:tc>
      </w:tr>
      <w:tr>
        <w:trPr>
          <w:trHeight w:val="540"/>
        </w:trPr>
        <w:tc>
          <w:tcPr>
            <w:tcW w:w="721" w:type="dxa"/>
            <w:vMerge/>
            <w:tcBorders>
              <w:top w:val="nil"/>
              <w:left w:val="single" w:sz="4" w:space="0" w:color="auto"/>
              <w:bottom w:val="single" w:sz="4" w:space="0" w:color="000000"/>
              <w:right w:val="single" w:sz="4" w:space="0" w:color="auto"/>
            </w:tcBorders>
            <w:vAlign w:val="center"/>
          </w:tcPr>
          <w:p/>
        </w:tc>
        <w:tc>
          <w:tcPr>
            <w:tcW w:w="1053" w:type="dxa"/>
            <w:vMerge/>
            <w:tcBorders>
              <w:top w:val="nil"/>
              <w:left w:val="single" w:sz="4" w:space="0" w:color="auto"/>
              <w:bottom w:val="single" w:sz="4" w:space="0" w:color="000000"/>
              <w:right w:val="single" w:sz="4" w:space="0" w:color="auto"/>
            </w:tcBorders>
            <w:vAlign w:val="center"/>
          </w:tcP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完成现有应急水源地评估工作，编制完成应急水源即时启用或多水源切换的应急预案。</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水利局、住建局、环保局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江阴市政府</w:t>
            </w:r>
          </w:p>
        </w:tc>
      </w:tr>
      <w:tr>
        <w:trPr>
          <w:trHeight w:val="1050"/>
        </w:trPr>
        <w:tc>
          <w:tcPr>
            <w:tcW w:w="721" w:type="dxa"/>
            <w:vMerge w:val="restart"/>
            <w:tcBorders>
              <w:top w:val="nil"/>
              <w:left w:val="single" w:sz="4" w:space="0" w:color="auto"/>
              <w:bottom w:val="single" w:sz="4" w:space="0" w:color="000000"/>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9</w:t>
            </w:r>
          </w:p>
        </w:tc>
        <w:tc>
          <w:tcPr>
            <w:tcW w:w="1053" w:type="dxa"/>
            <w:vMerge w:val="restart"/>
            <w:tcBorders>
              <w:top w:val="nil"/>
              <w:left w:val="single" w:sz="4" w:space="0" w:color="auto"/>
              <w:bottom w:val="single" w:sz="4" w:space="0" w:color="000000"/>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保护和修复沿江生态系统</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坚决落实主体功能区规划，严守生态保护、耕地保护、城市开发边界“三条红线”，管控好饮用水源地和沿江湿地在内的</w:t>
            </w:r>
            <w:r>
              <w:rPr>
                <w:rFonts w:ascii="宋体" w:eastAsia="宋体" w:cs="宋体"/>
                <w:color w:val="000000"/>
                <w:sz w:val="22"/>
                <w:szCs w:val="22"/>
              </w:rPr>
              <w:t>22</w:t>
            </w:r>
            <w:r>
              <w:rPr>
                <w:rFonts w:ascii="宋体" w:eastAsia="宋体" w:cs="宋体" w:hint="eastAsia"/>
                <w:color w:val="000000"/>
                <w:sz w:val="22"/>
                <w:szCs w:val="22"/>
              </w:rPr>
              <w:t>平方公里生态红区，守住</w:t>
            </w:r>
            <w:r>
              <w:rPr>
                <w:rFonts w:ascii="宋体" w:eastAsia="宋体" w:cs="宋体"/>
                <w:color w:val="000000"/>
                <w:sz w:val="22"/>
                <w:szCs w:val="22"/>
              </w:rPr>
              <w:t>47.4</w:t>
            </w:r>
            <w:r>
              <w:rPr>
                <w:rFonts w:ascii="宋体" w:eastAsia="宋体" w:cs="宋体" w:hint="eastAsia"/>
                <w:color w:val="000000"/>
                <w:sz w:val="22"/>
                <w:szCs w:val="22"/>
              </w:rPr>
              <w:t>万亩的耕地保护红线，严格控制新增用地总量和土地开发强度。</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发改委、国土局、规划局、环保局、水利局、农委</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江阴市政府</w:t>
            </w:r>
          </w:p>
        </w:tc>
      </w:tr>
      <w:tr>
        <w:trPr>
          <w:trHeight w:val="810"/>
        </w:trPr>
        <w:tc>
          <w:tcPr>
            <w:tcW w:w="721" w:type="dxa"/>
            <w:vMerge/>
            <w:tcBorders>
              <w:top w:val="nil"/>
              <w:left w:val="single" w:sz="4" w:space="0" w:color="auto"/>
              <w:bottom w:val="single" w:sz="4" w:space="0" w:color="000000"/>
              <w:right w:val="single" w:sz="4" w:space="0" w:color="auto"/>
            </w:tcBorders>
            <w:vAlign w:val="center"/>
          </w:tcPr>
          <w:p/>
        </w:tc>
        <w:tc>
          <w:tcPr>
            <w:tcW w:w="1053" w:type="dxa"/>
            <w:vMerge/>
            <w:tcBorders>
              <w:top w:val="nil"/>
              <w:left w:val="single" w:sz="4" w:space="0" w:color="auto"/>
              <w:bottom w:val="single" w:sz="4" w:space="0" w:color="000000"/>
              <w:right w:val="single" w:sz="4" w:space="0" w:color="auto"/>
            </w:tcBorders>
            <w:vAlign w:val="center"/>
          </w:tcP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大力实施城乡“</w:t>
            </w:r>
            <w:r>
              <w:rPr>
                <w:rFonts w:ascii="宋体" w:eastAsia="宋体" w:cs="宋体"/>
                <w:color w:val="000000"/>
                <w:sz w:val="22"/>
                <w:szCs w:val="22"/>
              </w:rPr>
              <w:t>1310</w:t>
            </w:r>
            <w:r>
              <w:rPr>
                <w:rFonts w:ascii="宋体" w:eastAsia="宋体" w:cs="宋体" w:hint="eastAsia"/>
                <w:color w:val="000000"/>
                <w:sz w:val="22"/>
                <w:szCs w:val="22"/>
              </w:rPr>
              <w:t>”工程，年内完成黄田港、韭菜港轮渡外迁，把主城区</w:t>
            </w:r>
            <w:r>
              <w:rPr>
                <w:rFonts w:ascii="宋体" w:eastAsia="宋体" w:cs="宋体"/>
                <w:color w:val="000000"/>
                <w:sz w:val="22"/>
                <w:szCs w:val="22"/>
              </w:rPr>
              <w:t>20</w:t>
            </w:r>
            <w:r>
              <w:rPr>
                <w:rFonts w:ascii="宋体" w:eastAsia="宋体" w:cs="宋体" w:hint="eastAsia"/>
                <w:color w:val="000000"/>
                <w:sz w:val="22"/>
                <w:szCs w:val="22"/>
              </w:rPr>
              <w:t>公里左右的长江、运河生产岸线全部变成生态岸线。</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江阴海事局、交通运输局、水利局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江阴市政府</w:t>
            </w:r>
          </w:p>
        </w:tc>
      </w:tr>
      <w:tr>
        <w:trPr>
          <w:trHeight w:val="660"/>
        </w:trPr>
        <w:tc>
          <w:tcPr>
            <w:tcW w:w="721" w:type="dxa"/>
            <w:vMerge/>
            <w:tcBorders>
              <w:top w:val="nil"/>
              <w:left w:val="single" w:sz="4" w:space="0" w:color="auto"/>
              <w:bottom w:val="single" w:sz="4" w:space="0" w:color="000000"/>
              <w:right w:val="single" w:sz="4" w:space="0" w:color="auto"/>
            </w:tcBorders>
            <w:vAlign w:val="center"/>
          </w:tcPr>
          <w:p/>
        </w:tc>
        <w:tc>
          <w:tcPr>
            <w:tcW w:w="1053" w:type="dxa"/>
            <w:vMerge/>
            <w:tcBorders>
              <w:top w:val="nil"/>
              <w:left w:val="single" w:sz="4" w:space="0" w:color="auto"/>
              <w:bottom w:val="single" w:sz="4" w:space="0" w:color="000000"/>
              <w:right w:val="single" w:sz="4" w:space="0" w:color="auto"/>
            </w:tcBorders>
            <w:vAlign w:val="center"/>
          </w:tcP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大力推进江阴生态防护林建设，到</w:t>
            </w:r>
            <w:r>
              <w:rPr>
                <w:rFonts w:ascii="宋体" w:eastAsia="宋体" w:cs="宋体"/>
                <w:color w:val="000000"/>
                <w:sz w:val="22"/>
                <w:szCs w:val="22"/>
              </w:rPr>
              <w:t>2017</w:t>
            </w:r>
            <w:r>
              <w:rPr>
                <w:rFonts w:ascii="宋体" w:eastAsia="宋体" w:cs="宋体" w:hint="eastAsia"/>
                <w:color w:val="000000"/>
                <w:sz w:val="22"/>
                <w:szCs w:val="22"/>
              </w:rPr>
              <w:t>年，江阴新增林木面积ⅩⅩ亩，林木覆盖率达到</w:t>
            </w:r>
            <w:r>
              <w:rPr>
                <w:rFonts w:ascii="宋体" w:eastAsia="宋体" w:cs="宋体"/>
                <w:color w:val="000000"/>
                <w:sz w:val="22"/>
                <w:szCs w:val="22"/>
              </w:rPr>
              <w:t>24%</w:t>
            </w:r>
            <w:r>
              <w:rPr>
                <w:rFonts w:ascii="宋体" w:eastAsia="宋体" w:cs="宋体" w:hint="eastAsia"/>
                <w:color w:val="000000"/>
                <w:sz w:val="22"/>
                <w:szCs w:val="22"/>
              </w:rPr>
              <w:t>以上。</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农委</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江阴市政府</w:t>
            </w:r>
          </w:p>
        </w:tc>
      </w:tr>
      <w:tr>
        <w:trPr>
          <w:trHeight w:val="600"/>
        </w:trPr>
        <w:tc>
          <w:tcPr>
            <w:tcW w:w="721" w:type="dxa"/>
            <w:vMerge/>
            <w:tcBorders>
              <w:top w:val="nil"/>
              <w:left w:val="single" w:sz="4" w:space="0" w:color="auto"/>
              <w:bottom w:val="single" w:sz="4" w:space="0" w:color="000000"/>
              <w:right w:val="single" w:sz="4" w:space="0" w:color="auto"/>
            </w:tcBorders>
            <w:vAlign w:val="center"/>
          </w:tcPr>
          <w:p/>
        </w:tc>
        <w:tc>
          <w:tcPr>
            <w:tcW w:w="1053" w:type="dxa"/>
            <w:vMerge/>
            <w:tcBorders>
              <w:top w:val="nil"/>
              <w:left w:val="single" w:sz="4" w:space="0" w:color="auto"/>
              <w:bottom w:val="single" w:sz="4" w:space="0" w:color="000000"/>
              <w:right w:val="single" w:sz="4" w:space="0" w:color="auto"/>
            </w:tcBorders>
            <w:vAlign w:val="center"/>
          </w:tcP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eastAsia="宋体"/>
                <w:color w:val="000000"/>
                <w:sz w:val="22"/>
                <w:szCs w:val="22"/>
              </w:rPr>
            </w:pPr>
            <w:r>
              <w:rPr>
                <w:rFonts w:ascii="宋体" w:eastAsia="宋体" w:hint="eastAsia"/>
                <w:color w:val="000000"/>
                <w:sz w:val="22"/>
                <w:szCs w:val="22"/>
              </w:rPr>
              <w:t>加强湿地公园、湿地保护小区的建设和管护，到</w:t>
            </w:r>
            <w:r>
              <w:rPr>
                <w:rFonts w:eastAsia="宋体"/>
                <w:color w:val="000000"/>
                <w:sz w:val="22"/>
                <w:szCs w:val="22"/>
              </w:rPr>
              <w:t>2017</w:t>
            </w:r>
            <w:r>
              <w:rPr>
                <w:rFonts w:ascii="宋体" w:eastAsia="宋体" w:hint="eastAsia"/>
                <w:color w:val="000000"/>
                <w:sz w:val="22"/>
                <w:szCs w:val="22"/>
              </w:rPr>
              <w:t>年，江阴自然湿地保护率达到</w:t>
            </w:r>
            <w:r>
              <w:rPr>
                <w:rFonts w:eastAsia="宋体"/>
                <w:color w:val="000000"/>
                <w:sz w:val="22"/>
                <w:szCs w:val="22"/>
              </w:rPr>
              <w:t>22%</w:t>
            </w:r>
            <w:r>
              <w:rPr>
                <w:rFonts w:eastAsia="宋体" w:hint="eastAsia"/>
                <w:color w:val="000000"/>
                <w:sz w:val="22"/>
                <w:szCs w:val="22"/>
              </w:rPr>
              <w:t>以上</w:t>
            </w:r>
            <w:r>
              <w:rPr>
                <w:rFonts w:ascii="宋体" w:eastAsia="宋体" w:hint="eastAsia"/>
                <w:color w:val="000000"/>
                <w:sz w:val="22"/>
                <w:szCs w:val="22"/>
              </w:rPr>
              <w:t>。</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农委</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江阴市政府</w:t>
            </w:r>
          </w:p>
        </w:tc>
      </w:tr>
      <w:tr>
        <w:trPr>
          <w:trHeight w:val="1005"/>
        </w:trPr>
        <w:tc>
          <w:tcPr>
            <w:tcW w:w="721" w:type="dxa"/>
            <w:tcBorders>
              <w:top w:val="nil"/>
              <w:left w:val="single" w:sz="4" w:space="0" w:color="auto"/>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10</w:t>
            </w:r>
          </w:p>
        </w:tc>
        <w:tc>
          <w:tcPr>
            <w:tcW w:w="105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生态保护引领创建工程</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宜兴市政府出台生态保护引领区实施方案，鼓励有条件的地区，率先开展生态保护引领乡镇（街道、）园区、村试点。出台《宜兴市生态文明建设规划（修编）》，完成生态文明建设示范乡镇（街道）、村的年度创建任务。支持建设宜兴省级和国家重点生态功能区。</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环保局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宜兴市政府</w:t>
            </w:r>
          </w:p>
        </w:tc>
      </w:tr>
      <w:tr>
        <w:trPr>
          <w:trHeight w:val="1155"/>
        </w:trPr>
        <w:tc>
          <w:tcPr>
            <w:tcW w:w="721" w:type="dxa"/>
            <w:tcBorders>
              <w:top w:val="nil"/>
              <w:left w:val="single" w:sz="4" w:space="0" w:color="auto"/>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11</w:t>
            </w:r>
          </w:p>
        </w:tc>
        <w:tc>
          <w:tcPr>
            <w:tcW w:w="105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优化整体生态保护与建设格局</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eastAsia="宋体"/>
                <w:color w:val="000000"/>
                <w:sz w:val="22"/>
                <w:szCs w:val="22"/>
              </w:rPr>
            </w:pPr>
            <w:r>
              <w:rPr>
                <w:rFonts w:ascii="宋体" w:eastAsia="宋体" w:hint="eastAsia"/>
                <w:color w:val="000000"/>
                <w:sz w:val="22"/>
                <w:szCs w:val="22"/>
              </w:rPr>
              <w:t>划定并严守城市边界、耕地保护和生态保护红线，引导人口、产业布局与资源环境承载能力相适应，开展</w:t>
            </w:r>
            <w:r>
              <w:rPr>
                <w:rFonts w:eastAsia="宋体"/>
                <w:color w:val="000000"/>
                <w:sz w:val="22"/>
                <w:szCs w:val="22"/>
              </w:rPr>
              <w:t>“</w:t>
            </w:r>
            <w:r>
              <w:rPr>
                <w:rFonts w:ascii="宋体" w:eastAsia="宋体" w:hint="eastAsia"/>
                <w:color w:val="000000"/>
                <w:sz w:val="22"/>
                <w:szCs w:val="22"/>
              </w:rPr>
              <w:t>城市开发边界和最小生态安全距离</w:t>
            </w:r>
            <w:r>
              <w:rPr>
                <w:rFonts w:eastAsia="宋体"/>
                <w:color w:val="000000"/>
                <w:sz w:val="22"/>
                <w:szCs w:val="22"/>
              </w:rPr>
              <w:t>”</w:t>
            </w:r>
            <w:r>
              <w:rPr>
                <w:rFonts w:ascii="宋体" w:eastAsia="宋体" w:hint="eastAsia"/>
                <w:color w:val="000000"/>
                <w:sz w:val="22"/>
                <w:szCs w:val="22"/>
              </w:rPr>
              <w:t>试点，打造生态安全走廊和屏障。</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发改委、规划局、国土局、农委、环保局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宜兴市政府</w:t>
            </w:r>
          </w:p>
        </w:tc>
      </w:tr>
      <w:tr>
        <w:trPr>
          <w:trHeight w:val="1170"/>
        </w:trPr>
        <w:tc>
          <w:tcPr>
            <w:tcW w:w="721" w:type="dxa"/>
            <w:vMerge w:val="restart"/>
            <w:tcBorders>
              <w:top w:val="nil"/>
              <w:left w:val="single" w:sz="4" w:space="0" w:color="auto"/>
              <w:bottom w:val="single" w:sz="4" w:space="0" w:color="000000"/>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12</w:t>
            </w:r>
          </w:p>
        </w:tc>
        <w:tc>
          <w:tcPr>
            <w:tcW w:w="1053" w:type="dxa"/>
            <w:vMerge w:val="restart"/>
            <w:tcBorders>
              <w:top w:val="nil"/>
              <w:left w:val="single" w:sz="4" w:space="0" w:color="auto"/>
              <w:bottom w:val="single" w:sz="4" w:space="0" w:color="000000"/>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着力打造绿色特色产业体系</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深入实施“产业强市”主导战略，加快产业转型步伐，大力淘汰落后产能，推动线缆、环保等主导产业做优做强，铜材加工、精细化工等传统产业改造升级，新能源、新材料等新兴产业加速壮大，大力发展生态文化旅游业，真正构建结构合理、环境友好的产业体系。</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发改委、经信委、旅游局、环保局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宜兴市政府</w:t>
            </w:r>
          </w:p>
        </w:tc>
      </w:tr>
      <w:tr>
        <w:trPr>
          <w:trHeight w:val="1335"/>
        </w:trPr>
        <w:tc>
          <w:tcPr>
            <w:tcW w:w="721" w:type="dxa"/>
            <w:vMerge/>
            <w:tcBorders>
              <w:top w:val="nil"/>
              <w:left w:val="single" w:sz="4" w:space="0" w:color="auto"/>
              <w:bottom w:val="single" w:sz="4" w:space="0" w:color="000000"/>
              <w:right w:val="single" w:sz="4" w:space="0" w:color="auto"/>
            </w:tcBorders>
            <w:vAlign w:val="center"/>
          </w:tcPr>
          <w:p/>
        </w:tc>
        <w:tc>
          <w:tcPr>
            <w:tcW w:w="1053" w:type="dxa"/>
            <w:vMerge/>
            <w:tcBorders>
              <w:top w:val="nil"/>
              <w:left w:val="single" w:sz="4" w:space="0" w:color="auto"/>
              <w:bottom w:val="single" w:sz="4" w:space="0" w:color="000000"/>
              <w:right w:val="single" w:sz="4" w:space="0" w:color="auto"/>
            </w:tcBorders>
            <w:vAlign w:val="center"/>
          </w:tcP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eastAsia="宋体"/>
                <w:color w:val="000000"/>
                <w:sz w:val="22"/>
                <w:szCs w:val="22"/>
              </w:rPr>
            </w:pPr>
            <w:r>
              <w:rPr>
                <w:rFonts w:ascii="宋体" w:eastAsia="宋体" w:hint="eastAsia"/>
                <w:color w:val="000000"/>
                <w:sz w:val="22"/>
                <w:szCs w:val="22"/>
              </w:rPr>
              <w:t>实行水资源消耗总量和强度双控行动，深化节约用地</w:t>
            </w:r>
            <w:r>
              <w:rPr>
                <w:rFonts w:eastAsia="宋体"/>
                <w:color w:val="000000"/>
                <w:sz w:val="22"/>
                <w:szCs w:val="22"/>
              </w:rPr>
              <w:t>“1236”</w:t>
            </w:r>
            <w:r>
              <w:rPr>
                <w:rFonts w:ascii="宋体" w:eastAsia="宋体" w:hint="eastAsia"/>
                <w:color w:val="000000"/>
                <w:sz w:val="22"/>
                <w:szCs w:val="22"/>
              </w:rPr>
              <w:t>战略布局，控制煤炭消费总量，确保主要能源资源消耗量平稳降低。严把项目准入关，完善产业结构调整指导目录，在生产、流通、消费各环节大力发展循环经济、推行清洁生产，推动资源能源利用效率不断提高。</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发改委、国土局、经信委、水利局、</w:t>
            </w:r>
            <w:r>
              <w:rPr>
                <w:rFonts w:ascii="宋体" w:eastAsia="宋体" w:cs="宋体" w:hint="eastAsia"/>
                <w:color w:val="000000"/>
                <w:sz w:val="22"/>
                <w:szCs w:val="22"/>
              </w:rPr>
              <w:t>环保局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宜兴市政府</w:t>
            </w:r>
          </w:p>
        </w:tc>
      </w:tr>
      <w:tr>
        <w:trPr>
          <w:trHeight w:val="2160"/>
        </w:trPr>
        <w:tc>
          <w:tcPr>
            <w:tcW w:w="721" w:type="dxa"/>
            <w:tcBorders>
              <w:top w:val="nil"/>
              <w:left w:val="single" w:sz="4" w:space="0" w:color="auto"/>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13</w:t>
            </w:r>
          </w:p>
        </w:tc>
        <w:tc>
          <w:tcPr>
            <w:tcW w:w="105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有效解决突出环境问题</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深入推进大气污染防治，重点实施热电行业整合整治、工业企业废气治理、扬尘污染防控、秸秆综合利用及禁烧、重污染天气应急预警及监控等工作。全面落实无锡市《关于进一步深入太湖水污染防治工作的意见》，深入实施以氮磷控制为重点的流域综合治理，推动海绵城市建设，有效治理城乡黑臭河流。以农用地和重点行业企业用地为重点，开展土壤污染状况详查，在详查的同时逐步建立土壤环境风险管控体系，发现的问题区域要优先采取风险管控和污染治理措施，确保年度环境质量不退化、不降级，并有明显持续的改善。</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太湖办、环保局、国土局、住建局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宜兴市政府</w:t>
            </w:r>
          </w:p>
        </w:tc>
      </w:tr>
      <w:tr>
        <w:trPr>
          <w:trHeight w:val="810"/>
        </w:trPr>
        <w:tc>
          <w:tcPr>
            <w:tcW w:w="721" w:type="dxa"/>
            <w:tcBorders>
              <w:top w:val="nil"/>
              <w:left w:val="single" w:sz="4" w:space="0" w:color="auto"/>
              <w:bottom w:val="nil"/>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14</w:t>
            </w:r>
          </w:p>
        </w:tc>
        <w:tc>
          <w:tcPr>
            <w:tcW w:w="1053" w:type="dxa"/>
            <w:tcBorders>
              <w:top w:val="nil"/>
              <w:left w:val="nil"/>
              <w:bottom w:val="nil"/>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提升人居环境</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以“特色小镇”和“美丽乡村”建设为抓手，持续改善镇村环境面貌，在全社会倡导绿色低碳、崇尚自然的生活方式，努力实现生态保护和城乡建设、文化建设等工作的有机融合。</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住建局、农委、环保局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宜兴市政府</w:t>
            </w:r>
          </w:p>
        </w:tc>
      </w:tr>
      <w:tr>
        <w:trPr>
          <w:trHeight w:val="540"/>
        </w:trPr>
        <w:tc>
          <w:tcPr>
            <w:tcW w:w="72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15</w:t>
            </w:r>
          </w:p>
        </w:tc>
        <w:tc>
          <w:tcPr>
            <w:tcW w:w="10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创新体制机制</w:t>
            </w: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继续完善镇、园区、街道考核办法，将“生态保护和环境治理工作成效”作为重要内容，加大分值权重，加强结果运用。</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发改委</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宜兴市政府</w:t>
            </w:r>
          </w:p>
        </w:tc>
      </w:tr>
      <w:tr>
        <w:trPr>
          <w:trHeight w:val="810"/>
        </w:trPr>
        <w:tc>
          <w:tcPr>
            <w:tcW w:w="721" w:type="dxa"/>
            <w:vMerge/>
            <w:tcBorders>
              <w:top w:val="single" w:sz="4" w:space="0" w:color="auto"/>
              <w:left w:val="single" w:sz="4" w:space="0" w:color="auto"/>
              <w:bottom w:val="single" w:sz="4" w:space="0" w:color="000000"/>
              <w:right w:val="single" w:sz="4" w:space="0" w:color="auto"/>
            </w:tcBorders>
            <w:vAlign w:val="center"/>
          </w:tcPr>
          <w:p/>
        </w:tc>
        <w:tc>
          <w:tcPr>
            <w:tcW w:w="1053" w:type="dxa"/>
            <w:vMerge/>
            <w:tcBorders>
              <w:top w:val="single" w:sz="4" w:space="0" w:color="auto"/>
              <w:left w:val="single" w:sz="4" w:space="0" w:color="auto"/>
              <w:bottom w:val="single" w:sz="4" w:space="0" w:color="000000"/>
              <w:right w:val="single" w:sz="4" w:space="0" w:color="auto"/>
            </w:tcBorders>
            <w:vAlign w:val="center"/>
          </w:tcPr>
          <w:p/>
        </w:tc>
        <w:tc>
          <w:tcPr>
            <w:tcW w:w="722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left"/>
              <w:rPr>
                <w:rFonts w:ascii="宋体" w:eastAsia="宋体" w:cs="宋体"/>
                <w:color w:val="000000"/>
                <w:sz w:val="22"/>
                <w:szCs w:val="22"/>
              </w:rPr>
            </w:pPr>
            <w:r>
              <w:rPr>
                <w:rFonts w:ascii="宋体" w:eastAsia="宋体" w:cs="宋体" w:hint="eastAsia"/>
                <w:color w:val="000000"/>
                <w:sz w:val="22"/>
                <w:szCs w:val="22"/>
              </w:rPr>
              <w:t>继续完善自然资产负债表编制工作。实行领导干部自然资源离任审计制度。推行市场化机制，加快环境污染治理市场的全面开放，鼓励第三方治理，激励、引导各类主体积极投身生态文明建设。</w:t>
            </w:r>
          </w:p>
        </w:tc>
        <w:tc>
          <w:tcPr>
            <w:tcW w:w="709"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eastAsia="宋体"/>
                <w:color w:val="000000"/>
                <w:sz w:val="22"/>
                <w:szCs w:val="22"/>
              </w:rPr>
            </w:pPr>
            <w:r>
              <w:rPr>
                <w:rFonts w:ascii="宋体" w:eastAsia="宋体" w:hint="eastAsia"/>
                <w:color w:val="000000"/>
                <w:sz w:val="22"/>
                <w:szCs w:val="22"/>
              </w:rPr>
              <w:t>统计局、</w:t>
            </w:r>
            <w:r>
              <w:rPr>
                <w:rFonts w:ascii="宋体" w:eastAsia="宋体" w:cs="宋体" w:hint="eastAsia"/>
                <w:color w:val="000000"/>
                <w:sz w:val="22"/>
                <w:szCs w:val="22"/>
              </w:rPr>
              <w:t>财政局、发改委、</w:t>
            </w:r>
            <w:r>
              <w:rPr>
                <w:rFonts w:ascii="宋体" w:eastAsia="宋体" w:hint="eastAsia"/>
                <w:color w:val="000000"/>
                <w:sz w:val="22"/>
                <w:szCs w:val="22"/>
              </w:rPr>
              <w:t>环保局、审计局</w:t>
            </w:r>
          </w:p>
        </w:tc>
        <w:tc>
          <w:tcPr>
            <w:tcW w:w="2410" w:type="dxa"/>
            <w:tcBorders>
              <w:top w:val="nil"/>
              <w:left w:val="nil"/>
              <w:bottom w:val="single" w:sz="4" w:space="0" w:color="auto"/>
              <w:right w:val="single" w:sz="4" w:space="0" w:color="auto"/>
            </w:tcBorders>
            <w:shd w:val="clear" w:color="000000" w:fill="FFFFFF"/>
            <w:vAlign w:val="center"/>
          </w:tcPr>
          <w:p>
            <w:pPr>
              <w:widowControl/>
              <w:autoSpaceDE/>
              <w:autoSpaceDN/>
              <w:snapToGrid/>
              <w:spacing w:line="240" w:lineRule="auto"/>
              <w:ind w:firstLine="0"/>
              <w:jc w:val="center"/>
              <w:rPr>
                <w:rFonts w:ascii="宋体" w:eastAsia="宋体" w:cs="宋体"/>
                <w:color w:val="000000"/>
                <w:sz w:val="22"/>
                <w:szCs w:val="22"/>
              </w:rPr>
            </w:pPr>
            <w:r>
              <w:rPr>
                <w:rFonts w:ascii="宋体" w:eastAsia="宋体" w:cs="宋体" w:hint="eastAsia"/>
                <w:color w:val="000000"/>
                <w:sz w:val="22"/>
                <w:szCs w:val="22"/>
              </w:rPr>
              <w:t>宜兴市政府</w:t>
            </w:r>
          </w:p>
        </w:tc>
      </w:tr>
    </w:tbl>
    <w:p>
      <w:pPr>
        <w:overflowPunct w:val="0"/>
        <w:autoSpaceDE w:val="0"/>
        <w:autoSpaceDN w:val="0"/>
        <w:snapToGrid/>
        <w:spacing w:line="440" w:lineRule="exact"/>
        <w:ind w:firstLine="0"/>
        <w:jc w:val="center"/>
      </w:pPr>
    </w:p>
    <w:sectPr>
      <w:pgSz w:w="16838" w:h="11906" w:orient="landscape"/>
      <w:pgMar w:top="1588" w:right="1531" w:bottom="1418" w:left="1531" w:header="851" w:footer="992" w:gutter="0"/>
      <w:docGrid w:linePitch="435" w:charSpace="0"/>
    </w:sectPr>
  </w:body>
</w:document>
</file>

<file path=word/fontTable.xml><?xml version="1.0" encoding="utf-8"?>
<w:fonts xmlns:w="http://schemas.openxmlformats.org/wordprocessingml/2006/main" xmlns:r="http://schemas.openxmlformats.org/officeDocument/2006/relationships">
  <w:font w:name="方正小标宋_GBK">
    <w:altName w:val="黑体"/>
    <w:panose1 w:val="00000000000000000000"/>
    <w:charset w:val="86"/>
    <w:family w:val="script"/>
    <w:pitch w:val="variable"/>
    <w:sig w:usb0="00000001" w:usb1="080E0000" w:usb2="00000010" w:usb3="00000000" w:csb0="00040000" w:csb1="00000000"/>
  </w:font>
  <w:font w:name="仿宋_GB2312">
    <w:altName w:val="仿宋"/>
    <w:panose1 w:val="00000000000000000000"/>
    <w:charset w:val="86"/>
    <w:family w:val="modern"/>
    <w:pitch w:val="variable"/>
    <w:sig w:usb0="00000001" w:usb1="080E0000" w:usb2="00000010" w:usb3="00000000" w:csb0="00040000" w:csb1="00000000"/>
  </w:font>
  <w:font w:name="仿宋">
    <w:altName w:val="仿宋_GB2312"/>
    <w:panose1 w:val="02010609060101010101"/>
    <w:charset w:val="86"/>
    <w:family w:val="modern"/>
    <w:pitch w:val="variable"/>
    <w:sig w:usb0="800002BF" w:usb1="38CF7CFA"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黑体"/>
    <w:panose1 w:val="00000000000000000000"/>
    <w:charset w:val="86"/>
    <w:family w:val="script"/>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汉鼎简大宋">
    <w:altName w:val="宋体"/>
    <w:panose1 w:val="00000000000000000000"/>
    <w:charset w:val="86"/>
    <w:family w:val="modern"/>
    <w:pitch w:val="variable"/>
    <w:sig w:usb0="00000001" w:usb1="080E0000" w:usb2="0000001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autoSpaceDE w:val="0"/>
      <w:autoSpaceDN w:val="0"/>
      <w:snapToGrid w:val="0"/>
      <w:spacing w:line="590" w:lineRule="atLeast"/>
      <w:ind w:firstLine="624"/>
      <w:jc w:val="both"/>
    </w:pPr>
    <w:rPr>
      <w:rFonts w:ascii="Times New Roman" w:eastAsia="方正仿宋_GBK" w:cs="Times New Roman" w:hAnsi="Times New Roman"/>
      <w:kern w:val="0"/>
      <w:sz w:val="32"/>
      <w:szCs w:val="20"/>
      <w:lang w:val="en-US" w:eastAsia="zh-CN"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autoSpaceDE/>
      <w:autoSpaceDN/>
      <w:spacing w:line="240" w:lineRule="auto"/>
      <w:ind w:firstLine="0"/>
      <w:jc w:val="center"/>
    </w:pPr>
    <w:rPr>
      <w:rFonts w:ascii="Calibri" w:eastAsia="宋体" w:hAnsi="Calibri"/>
      <w:kern w:val="2"/>
      <w:sz w:val="18"/>
      <w:szCs w:val="18"/>
    </w:rPr>
  </w:style>
  <w:style w:type="paragraph" w:styleId="16">
    <w:name w:val="footer"/>
    <w:basedOn w:val="0"/>
    <w:pPr>
      <w:tabs>
        <w:tab w:val="center" w:pos="4153"/>
        <w:tab w:val="right" w:pos="8306"/>
      </w:tabs>
      <w:jc w:val="left"/>
    </w:pPr>
    <w:rPr>
      <w:sz w:val="18"/>
      <w:szCs w:val="18"/>
    </w:rPr>
  </w:style>
  <w:style w:type="paragraph" w:customStyle="1" w:styleId="17">
    <w:name w:val="文头"/>
    <w:basedOn w:val="0"/>
    <w:pPr>
      <w:tabs>
        <w:tab w:val="left" w:pos="6663"/>
      </w:tabs>
      <w:spacing w:after="1000" w:line="3100" w:lineRule="atLeast"/>
      <w:ind w:left="510" w:right="227" w:hanging="284"/>
      <w:jc w:val="distribute"/>
    </w:pPr>
    <w:rPr>
      <w:rFonts w:ascii="汉鼎简大宋" w:eastAsia="汉鼎简大宋"/>
      <w:b/>
      <w:color w:val="FF0000"/>
      <w:w w:val="62"/>
      <w:sz w:val="140"/>
    </w:rPr>
  </w:style>
  <w:style w:type="paragraph" w:styleId="18">
    <w:name w:val="Normal (Web)"/>
    <w:basedOn w:val="0"/>
    <w:pPr>
      <w:widowControl/>
      <w:autoSpaceDE/>
      <w:autoSpaceDN/>
      <w:snapToGrid/>
      <w:spacing w:before="100" w:beforeAutospacing="1" w:after="100" w:afterAutospacing="1" w:line="240" w:lineRule="auto"/>
      <w:ind w:firstLine="0"/>
      <w:jc w:val="left"/>
    </w:pPr>
    <w:rPr>
      <w:rFonts w:ascii="宋体" w:eastAsia="宋体"/>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118</TotalTime>
  <Application>Yozo_Office</Application>
  <Pages>6</Pages>
  <Words>3500</Words>
  <Characters>3627</Characters>
  <Lines>319</Lines>
  <Paragraphs>147</Paragraphs>
  <CharactersWithSpaces>3636</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徐新宇</dc:creator>
  <cp:lastModifiedBy>微软用户</cp:lastModifiedBy>
  <cp:revision>9</cp:revision>
  <cp:lastPrinted>2017-04-06T05:17:00Z</cp:lastPrinted>
  <dcterms:created xsi:type="dcterms:W3CDTF">2017-04-05T08:07:00Z</dcterms:created>
  <dcterms:modified xsi:type="dcterms:W3CDTF">2017-04-28T01:39:00Z</dcterms:modified>
</cp:coreProperties>
</file>