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20A0" w14:textId="77777777" w:rsidR="003215F1" w:rsidRDefault="00684A8A">
      <w:pPr>
        <w:pStyle w:val="2"/>
        <w:jc w:val="center"/>
        <w:rPr>
          <w:rFonts w:ascii="方正小标宋简体" w:eastAsia="方正小标宋简体" w:hAnsi="方正小标宋简体"/>
          <w:bCs/>
          <w:color w:val="000000" w:themeColor="text1"/>
          <w:sz w:val="44"/>
          <w:szCs w:val="44"/>
        </w:rPr>
      </w:pPr>
      <w:bookmarkStart w:id="0" w:name="_Toc456345821"/>
      <w:bookmarkStart w:id="1" w:name="_Toc456339653"/>
      <w:r>
        <w:rPr>
          <w:rFonts w:ascii="方正小标宋简体" w:eastAsia="方正小标宋简体" w:hAnsi="方正小标宋简体"/>
          <w:bCs/>
          <w:color w:val="000000" w:themeColor="text1"/>
          <w:sz w:val="44"/>
          <w:szCs w:val="44"/>
        </w:rPr>
        <w:t>2025</w:t>
      </w:r>
      <w:r>
        <w:rPr>
          <w:rFonts w:ascii="方正小标宋简体" w:eastAsia="方正小标宋简体" w:hAnsi="方正小标宋简体"/>
          <w:bCs/>
          <w:color w:val="000000" w:themeColor="text1"/>
          <w:sz w:val="44"/>
          <w:szCs w:val="44"/>
        </w:rPr>
        <w:t>年上半年无锡市声环境质量状况</w:t>
      </w:r>
      <w:bookmarkEnd w:id="0"/>
      <w:bookmarkEnd w:id="1"/>
    </w:p>
    <w:p w14:paraId="09118773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560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2025</w:t>
      </w:r>
      <w:r>
        <w:rPr>
          <w:rFonts w:eastAsia="方正仿宋_GBK"/>
          <w:color w:val="000000" w:themeColor="text1"/>
          <w:sz w:val="28"/>
          <w:szCs w:val="28"/>
        </w:rPr>
        <w:t>年上半年，无锡全市功能区噪声监测点位</w:t>
      </w:r>
      <w:r>
        <w:rPr>
          <w:rFonts w:eastAsia="方正仿宋_GBK"/>
          <w:color w:val="000000" w:themeColor="text1"/>
          <w:sz w:val="28"/>
          <w:szCs w:val="28"/>
        </w:rPr>
        <w:t>30</w:t>
      </w:r>
      <w:r>
        <w:rPr>
          <w:rFonts w:eastAsia="方正仿宋_GBK"/>
          <w:color w:val="000000" w:themeColor="text1"/>
          <w:sz w:val="28"/>
          <w:szCs w:val="28"/>
        </w:rPr>
        <w:t>个，</w:t>
      </w:r>
      <w:r>
        <w:rPr>
          <w:rFonts w:eastAsia="方正仿宋_GBK" w:hint="eastAsia"/>
          <w:color w:val="000000" w:themeColor="text1"/>
          <w:sz w:val="28"/>
          <w:szCs w:val="28"/>
        </w:rPr>
        <w:t>无锡市区共有点位</w:t>
      </w: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5</w:t>
      </w:r>
      <w:r>
        <w:rPr>
          <w:rFonts w:eastAsia="方正仿宋_GBK" w:hint="eastAsia"/>
          <w:color w:val="000000" w:themeColor="text1"/>
          <w:sz w:val="28"/>
          <w:szCs w:val="28"/>
        </w:rPr>
        <w:t>个，</w:t>
      </w:r>
      <w:r>
        <w:rPr>
          <w:rFonts w:eastAsia="方正仿宋_GBK" w:hint="eastAsia"/>
          <w:color w:val="000000" w:themeColor="text1"/>
          <w:sz w:val="28"/>
          <w:szCs w:val="28"/>
        </w:rPr>
        <w:t>自</w:t>
      </w:r>
      <w:r>
        <w:rPr>
          <w:rFonts w:eastAsia="方正仿宋_GBK" w:hint="eastAsia"/>
          <w:color w:val="000000" w:themeColor="text1"/>
          <w:sz w:val="28"/>
          <w:szCs w:val="28"/>
        </w:rPr>
        <w:t>2</w:t>
      </w:r>
      <w:r>
        <w:rPr>
          <w:rFonts w:eastAsia="方正仿宋_GBK"/>
          <w:color w:val="000000" w:themeColor="text1"/>
          <w:sz w:val="28"/>
          <w:szCs w:val="28"/>
        </w:rPr>
        <w:t>025</w:t>
      </w:r>
      <w:r>
        <w:rPr>
          <w:rFonts w:eastAsia="方正仿宋_GBK" w:hint="eastAsia"/>
          <w:color w:val="000000" w:themeColor="text1"/>
          <w:sz w:val="28"/>
          <w:szCs w:val="28"/>
        </w:rPr>
        <w:t>年</w:t>
      </w: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 w:hint="eastAsia"/>
          <w:color w:val="000000" w:themeColor="text1"/>
          <w:sz w:val="28"/>
          <w:szCs w:val="28"/>
        </w:rPr>
        <w:t>月开始采用噪声自动监测系</w:t>
      </w:r>
      <w:r>
        <w:rPr>
          <w:rFonts w:eastAsia="方正仿宋_GBK" w:hint="eastAsia"/>
          <w:color w:val="000000" w:themeColor="text1"/>
          <w:sz w:val="28"/>
          <w:szCs w:val="28"/>
        </w:rPr>
        <w:t>统开展监测；</w:t>
      </w:r>
      <w:r>
        <w:rPr>
          <w:rFonts w:eastAsia="方正仿宋_GBK" w:hint="eastAsia"/>
          <w:color w:val="000000" w:themeColor="text1"/>
          <w:sz w:val="28"/>
          <w:szCs w:val="28"/>
        </w:rPr>
        <w:t>江阴</w:t>
      </w:r>
      <w:r>
        <w:rPr>
          <w:rFonts w:eastAsia="方正仿宋_GBK" w:hint="eastAsia"/>
          <w:color w:val="000000" w:themeColor="text1"/>
          <w:sz w:val="28"/>
          <w:szCs w:val="28"/>
        </w:rPr>
        <w:t>8</w:t>
      </w:r>
      <w:r>
        <w:rPr>
          <w:rFonts w:eastAsia="方正仿宋_GBK" w:hint="eastAsia"/>
          <w:color w:val="000000" w:themeColor="text1"/>
          <w:sz w:val="28"/>
          <w:szCs w:val="28"/>
        </w:rPr>
        <w:t>个点位和宜兴</w:t>
      </w:r>
      <w:r>
        <w:rPr>
          <w:rFonts w:eastAsia="方正仿宋_GBK" w:hint="eastAsia"/>
          <w:color w:val="000000" w:themeColor="text1"/>
          <w:sz w:val="28"/>
          <w:szCs w:val="28"/>
        </w:rPr>
        <w:t>7</w:t>
      </w:r>
      <w:r>
        <w:rPr>
          <w:rFonts w:eastAsia="方正仿宋_GBK" w:hint="eastAsia"/>
          <w:color w:val="000000" w:themeColor="text1"/>
          <w:sz w:val="28"/>
          <w:szCs w:val="28"/>
        </w:rPr>
        <w:t>个点位，</w:t>
      </w:r>
      <w:r>
        <w:rPr>
          <w:rFonts w:eastAsia="方正仿宋_GBK"/>
          <w:color w:val="000000" w:themeColor="text1"/>
          <w:sz w:val="28"/>
          <w:szCs w:val="28"/>
        </w:rPr>
        <w:t>每季度</w:t>
      </w:r>
      <w:r>
        <w:rPr>
          <w:rFonts w:eastAsia="方正仿宋_GBK" w:hint="eastAsia"/>
          <w:color w:val="000000" w:themeColor="text1"/>
          <w:sz w:val="28"/>
          <w:szCs w:val="28"/>
        </w:rPr>
        <w:t>手工</w:t>
      </w:r>
      <w:r>
        <w:rPr>
          <w:rFonts w:eastAsia="方正仿宋_GBK"/>
          <w:color w:val="000000" w:themeColor="text1"/>
          <w:sz w:val="28"/>
          <w:szCs w:val="28"/>
        </w:rPr>
        <w:t>监测一次。评价标准详见下表</w:t>
      </w:r>
      <w:r>
        <w:rPr>
          <w:rFonts w:eastAsia="方正仿宋_GBK" w:hint="eastAsia"/>
          <w:color w:val="000000" w:themeColor="text1"/>
          <w:sz w:val="28"/>
          <w:szCs w:val="28"/>
        </w:rPr>
        <w:t>：</w:t>
      </w:r>
    </w:p>
    <w:p w14:paraId="21BEF16A" w14:textId="77777777" w:rsidR="003215F1" w:rsidRDefault="00684A8A">
      <w:pPr>
        <w:spacing w:beforeLines="50" w:before="156"/>
        <w:jc w:val="center"/>
        <w:rPr>
          <w:rFonts w:ascii="黑体" w:eastAsia="黑体" w:hAnsi="黑体"/>
          <w:bCs/>
          <w:color w:val="000000" w:themeColor="text1"/>
          <w:kern w:val="0"/>
          <w:sz w:val="24"/>
        </w:rPr>
      </w:pPr>
      <w:r>
        <w:rPr>
          <w:rFonts w:ascii="黑体" w:eastAsia="黑体" w:hAnsi="黑体"/>
          <w:bCs/>
          <w:color w:val="000000" w:themeColor="text1"/>
          <w:sz w:val="24"/>
        </w:rPr>
        <w:t>表</w:t>
      </w:r>
      <w:r>
        <w:rPr>
          <w:rFonts w:ascii="黑体" w:eastAsia="黑体" w:hAnsi="黑体"/>
          <w:bCs/>
          <w:color w:val="000000" w:themeColor="text1"/>
          <w:sz w:val="24"/>
        </w:rPr>
        <w:t xml:space="preserve">1.   </w:t>
      </w:r>
      <w:r>
        <w:rPr>
          <w:rFonts w:ascii="黑体" w:eastAsia="黑体" w:hAnsi="黑体"/>
          <w:bCs/>
          <w:color w:val="000000" w:themeColor="text1"/>
          <w:sz w:val="24"/>
        </w:rPr>
        <w:t>环境噪声等级声级限值</w:t>
      </w:r>
      <w:r>
        <w:rPr>
          <w:rFonts w:ascii="黑体" w:eastAsia="黑体" w:hAnsi="黑体"/>
          <w:bCs/>
          <w:color w:val="000000" w:themeColor="text1"/>
          <w:sz w:val="24"/>
        </w:rPr>
        <w:t xml:space="preserve">       </w:t>
      </w:r>
      <w:r>
        <w:rPr>
          <w:rFonts w:ascii="黑体" w:eastAsia="黑体" w:hAnsi="黑体"/>
          <w:bCs/>
          <w:color w:val="000000" w:themeColor="text1"/>
          <w:sz w:val="24"/>
        </w:rPr>
        <w:t>单位：</w:t>
      </w:r>
      <w:r>
        <w:rPr>
          <w:rFonts w:ascii="黑体" w:eastAsia="黑体" w:hAnsi="黑体"/>
          <w:bCs/>
          <w:color w:val="000000" w:themeColor="text1"/>
          <w:sz w:val="24"/>
        </w:rPr>
        <w:t xml:space="preserve"> dB</w:t>
      </w:r>
      <w:r>
        <w:rPr>
          <w:rFonts w:ascii="黑体" w:eastAsia="黑体" w:hAnsi="黑体"/>
          <w:bCs/>
          <w:color w:val="000000" w:themeColor="text1"/>
          <w:sz w:val="24"/>
        </w:rPr>
        <w:t>（</w:t>
      </w:r>
      <w:r>
        <w:rPr>
          <w:rFonts w:ascii="黑体" w:eastAsia="黑体" w:hAnsi="黑体"/>
          <w:bCs/>
          <w:color w:val="000000" w:themeColor="text1"/>
          <w:sz w:val="24"/>
        </w:rPr>
        <w:t>A</w:t>
      </w:r>
      <w:r>
        <w:rPr>
          <w:rFonts w:ascii="黑体" w:eastAsia="黑体" w:hAnsi="黑体"/>
          <w:bCs/>
          <w:color w:val="000000" w:themeColor="text1"/>
          <w:sz w:val="24"/>
        </w:rPr>
        <w:t>）</w:t>
      </w:r>
    </w:p>
    <w:tbl>
      <w:tblPr>
        <w:tblW w:w="433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110"/>
        <w:gridCol w:w="1108"/>
        <w:gridCol w:w="1108"/>
        <w:gridCol w:w="1106"/>
        <w:gridCol w:w="1100"/>
      </w:tblGrid>
      <w:tr w:rsidR="003215F1" w14:paraId="158D5BA6" w14:textId="77777777">
        <w:trPr>
          <w:trHeight w:val="465"/>
          <w:jc w:val="center"/>
        </w:trPr>
        <w:tc>
          <w:tcPr>
            <w:tcW w:w="1157" w:type="pct"/>
            <w:shd w:val="clear" w:color="95B3D7" w:themeColor="accent1" w:themeTint="99" w:fill="B8CCE4" w:themeFill="accent1" w:themeFillTint="66"/>
            <w:vAlign w:val="center"/>
          </w:tcPr>
          <w:p w14:paraId="58621B30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功能区</w:t>
            </w:r>
          </w:p>
        </w:tc>
        <w:tc>
          <w:tcPr>
            <w:tcW w:w="771" w:type="pct"/>
            <w:shd w:val="clear" w:color="95B3D7" w:themeColor="accent1" w:themeTint="99" w:fill="B8CCE4" w:themeFill="accent1" w:themeFillTint="66"/>
            <w:vAlign w:val="center"/>
          </w:tcPr>
          <w:p w14:paraId="5E55DD42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0</w:t>
            </w: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类</w:t>
            </w:r>
          </w:p>
        </w:tc>
        <w:tc>
          <w:tcPr>
            <w:tcW w:w="770" w:type="pct"/>
            <w:shd w:val="clear" w:color="95B3D7" w:themeColor="accent1" w:themeTint="99" w:fill="B8CCE4" w:themeFill="accent1" w:themeFillTint="66"/>
            <w:vAlign w:val="center"/>
          </w:tcPr>
          <w:p w14:paraId="138ABCA8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1</w:t>
            </w: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类</w:t>
            </w:r>
          </w:p>
        </w:tc>
        <w:tc>
          <w:tcPr>
            <w:tcW w:w="770" w:type="pct"/>
            <w:shd w:val="clear" w:color="95B3D7" w:themeColor="accent1" w:themeTint="99" w:fill="B8CCE4" w:themeFill="accent1" w:themeFillTint="66"/>
            <w:vAlign w:val="center"/>
          </w:tcPr>
          <w:p w14:paraId="7D1491C6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2</w:t>
            </w: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类</w:t>
            </w:r>
          </w:p>
        </w:tc>
        <w:tc>
          <w:tcPr>
            <w:tcW w:w="768" w:type="pct"/>
            <w:shd w:val="clear" w:color="95B3D7" w:themeColor="accent1" w:themeTint="99" w:fill="B8CCE4" w:themeFill="accent1" w:themeFillTint="66"/>
            <w:vAlign w:val="center"/>
          </w:tcPr>
          <w:p w14:paraId="67F1B5DF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3</w:t>
            </w: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类</w:t>
            </w:r>
          </w:p>
        </w:tc>
        <w:tc>
          <w:tcPr>
            <w:tcW w:w="765" w:type="pct"/>
            <w:shd w:val="clear" w:color="95B3D7" w:themeColor="accent1" w:themeTint="99" w:fill="B8CCE4" w:themeFill="accent1" w:themeFillTint="66"/>
            <w:vAlign w:val="center"/>
          </w:tcPr>
          <w:p w14:paraId="1F6C4553" w14:textId="77777777" w:rsidR="003215F1" w:rsidRDefault="00684A8A">
            <w:pPr>
              <w:jc w:val="center"/>
              <w:rPr>
                <w:rFonts w:eastAsia="方正仿宋_GBK"/>
                <w:b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4</w:t>
            </w:r>
            <w:r>
              <w:rPr>
                <w:rFonts w:eastAsia="方正仿宋_GBK"/>
                <w:b/>
                <w:color w:val="000000" w:themeColor="text1"/>
                <w:kern w:val="0"/>
                <w:sz w:val="20"/>
              </w:rPr>
              <w:t>类</w:t>
            </w:r>
          </w:p>
        </w:tc>
      </w:tr>
      <w:tr w:rsidR="003215F1" w14:paraId="5362D742" w14:textId="77777777">
        <w:trPr>
          <w:trHeight w:val="465"/>
          <w:jc w:val="center"/>
        </w:trPr>
        <w:tc>
          <w:tcPr>
            <w:tcW w:w="1157" w:type="pct"/>
            <w:vAlign w:val="center"/>
          </w:tcPr>
          <w:p w14:paraId="0CF880C8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昼间</w:t>
            </w:r>
          </w:p>
        </w:tc>
        <w:tc>
          <w:tcPr>
            <w:tcW w:w="771" w:type="pct"/>
            <w:vAlign w:val="center"/>
          </w:tcPr>
          <w:p w14:paraId="2DB009DB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≤50</w:t>
            </w:r>
          </w:p>
        </w:tc>
        <w:tc>
          <w:tcPr>
            <w:tcW w:w="770" w:type="pct"/>
            <w:vAlign w:val="center"/>
          </w:tcPr>
          <w:p w14:paraId="5E9B4579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≤55</w:t>
            </w:r>
          </w:p>
        </w:tc>
        <w:tc>
          <w:tcPr>
            <w:tcW w:w="770" w:type="pct"/>
            <w:vAlign w:val="center"/>
          </w:tcPr>
          <w:p w14:paraId="174227AD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≤60</w:t>
            </w:r>
          </w:p>
        </w:tc>
        <w:tc>
          <w:tcPr>
            <w:tcW w:w="768" w:type="pct"/>
            <w:vAlign w:val="center"/>
          </w:tcPr>
          <w:p w14:paraId="731189BE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≤65</w:t>
            </w:r>
          </w:p>
        </w:tc>
        <w:tc>
          <w:tcPr>
            <w:tcW w:w="765" w:type="pct"/>
            <w:vAlign w:val="center"/>
          </w:tcPr>
          <w:p w14:paraId="4E6C63C6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≤70</w:t>
            </w:r>
          </w:p>
        </w:tc>
      </w:tr>
      <w:tr w:rsidR="003215F1" w14:paraId="783176EC" w14:textId="77777777">
        <w:trPr>
          <w:trHeight w:val="465"/>
          <w:jc w:val="center"/>
        </w:trPr>
        <w:tc>
          <w:tcPr>
            <w:tcW w:w="1157" w:type="pct"/>
            <w:vAlign w:val="center"/>
          </w:tcPr>
          <w:p w14:paraId="3FAA0CD7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夜间</w:t>
            </w:r>
          </w:p>
        </w:tc>
        <w:tc>
          <w:tcPr>
            <w:tcW w:w="771" w:type="pct"/>
            <w:vAlign w:val="center"/>
          </w:tcPr>
          <w:p w14:paraId="76932FD9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≤40</w:t>
            </w:r>
          </w:p>
        </w:tc>
        <w:tc>
          <w:tcPr>
            <w:tcW w:w="770" w:type="pct"/>
            <w:vAlign w:val="center"/>
          </w:tcPr>
          <w:p w14:paraId="3FF4C7CA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≤45</w:t>
            </w:r>
          </w:p>
        </w:tc>
        <w:tc>
          <w:tcPr>
            <w:tcW w:w="770" w:type="pct"/>
            <w:vAlign w:val="center"/>
          </w:tcPr>
          <w:p w14:paraId="1DEEEAD9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≤50</w:t>
            </w:r>
          </w:p>
        </w:tc>
        <w:tc>
          <w:tcPr>
            <w:tcW w:w="768" w:type="pct"/>
            <w:vAlign w:val="center"/>
          </w:tcPr>
          <w:p w14:paraId="36944864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≤55</w:t>
            </w:r>
          </w:p>
        </w:tc>
        <w:tc>
          <w:tcPr>
            <w:tcW w:w="765" w:type="pct"/>
            <w:vAlign w:val="center"/>
          </w:tcPr>
          <w:p w14:paraId="2D06F2ED" w14:textId="77777777" w:rsidR="003215F1" w:rsidRDefault="00684A8A">
            <w:pPr>
              <w:jc w:val="center"/>
              <w:rPr>
                <w:rFonts w:eastAsia="方正仿宋_GBK"/>
                <w:color w:val="000000" w:themeColor="text1"/>
                <w:kern w:val="0"/>
                <w:sz w:val="20"/>
              </w:rPr>
            </w:pPr>
            <w:r>
              <w:rPr>
                <w:rFonts w:eastAsia="方正仿宋_GBK"/>
                <w:color w:val="000000" w:themeColor="text1"/>
                <w:kern w:val="0"/>
                <w:sz w:val="20"/>
              </w:rPr>
              <w:t>≤55</w:t>
            </w:r>
          </w:p>
        </w:tc>
      </w:tr>
    </w:tbl>
    <w:p w14:paraId="32CB88F8" w14:textId="77777777" w:rsidR="003215F1" w:rsidRDefault="00684A8A">
      <w:pPr>
        <w:spacing w:line="300" w:lineRule="exact"/>
        <w:rPr>
          <w:rFonts w:eastAsia="仿宋_GB2312"/>
          <w:color w:val="000000" w:themeColor="text1"/>
          <w:sz w:val="18"/>
          <w:szCs w:val="18"/>
        </w:rPr>
      </w:pPr>
      <w:r>
        <w:rPr>
          <w:rFonts w:eastAsia="仿宋_GB2312"/>
          <w:color w:val="000000" w:themeColor="text1"/>
          <w:sz w:val="18"/>
          <w:szCs w:val="18"/>
        </w:rPr>
        <w:t>注：</w:t>
      </w:r>
      <w:r>
        <w:rPr>
          <w:rFonts w:eastAsia="仿宋_GB2312"/>
          <w:color w:val="000000" w:themeColor="text1"/>
          <w:sz w:val="18"/>
          <w:szCs w:val="18"/>
        </w:rPr>
        <w:t>0</w:t>
      </w:r>
      <w:r>
        <w:rPr>
          <w:rFonts w:eastAsia="仿宋_GB2312"/>
          <w:color w:val="000000" w:themeColor="text1"/>
          <w:sz w:val="18"/>
          <w:szCs w:val="18"/>
        </w:rPr>
        <w:t>类区标准适用于疗养院、高级别墅区等特别需要安静的区域；</w:t>
      </w:r>
    </w:p>
    <w:p w14:paraId="7BE8B1F8" w14:textId="77777777" w:rsidR="003215F1" w:rsidRDefault="00684A8A">
      <w:pPr>
        <w:spacing w:line="300" w:lineRule="exact"/>
        <w:ind w:firstLineChars="200" w:firstLine="360"/>
        <w:rPr>
          <w:rFonts w:eastAsia="仿宋_GB2312"/>
          <w:color w:val="000000" w:themeColor="text1"/>
          <w:sz w:val="18"/>
          <w:szCs w:val="18"/>
        </w:rPr>
      </w:pPr>
      <w:r>
        <w:rPr>
          <w:rFonts w:eastAsia="仿宋_GB2312"/>
          <w:color w:val="000000" w:themeColor="text1"/>
          <w:sz w:val="18"/>
          <w:szCs w:val="18"/>
        </w:rPr>
        <w:t>1</w:t>
      </w:r>
      <w:r>
        <w:rPr>
          <w:rFonts w:eastAsia="仿宋_GB2312"/>
          <w:color w:val="000000" w:themeColor="text1"/>
          <w:sz w:val="18"/>
          <w:szCs w:val="18"/>
        </w:rPr>
        <w:t>类区标准适用于居住、文教区为主的区域；</w:t>
      </w:r>
    </w:p>
    <w:p w14:paraId="423BB0A5" w14:textId="77777777" w:rsidR="003215F1" w:rsidRDefault="00684A8A">
      <w:pPr>
        <w:spacing w:line="300" w:lineRule="exact"/>
        <w:ind w:firstLineChars="200" w:firstLine="360"/>
        <w:rPr>
          <w:rFonts w:eastAsia="仿宋_GB2312"/>
          <w:color w:val="000000" w:themeColor="text1"/>
          <w:sz w:val="18"/>
          <w:szCs w:val="18"/>
        </w:rPr>
      </w:pPr>
      <w:r>
        <w:rPr>
          <w:rFonts w:eastAsia="仿宋_GB2312"/>
          <w:color w:val="000000" w:themeColor="text1"/>
          <w:sz w:val="18"/>
          <w:szCs w:val="18"/>
        </w:rPr>
        <w:t>2</w:t>
      </w:r>
      <w:r>
        <w:rPr>
          <w:rFonts w:eastAsia="仿宋_GB2312"/>
          <w:color w:val="000000" w:themeColor="text1"/>
          <w:sz w:val="18"/>
          <w:szCs w:val="18"/>
        </w:rPr>
        <w:t>类区标准适用于居住、商业、工业混杂区；</w:t>
      </w:r>
    </w:p>
    <w:p w14:paraId="0AA72F3C" w14:textId="77777777" w:rsidR="003215F1" w:rsidRDefault="00684A8A">
      <w:pPr>
        <w:spacing w:line="300" w:lineRule="exact"/>
        <w:ind w:firstLineChars="200" w:firstLine="360"/>
        <w:rPr>
          <w:rFonts w:eastAsia="仿宋_GB2312"/>
          <w:color w:val="000000" w:themeColor="text1"/>
          <w:sz w:val="18"/>
          <w:szCs w:val="18"/>
        </w:rPr>
      </w:pPr>
      <w:r>
        <w:rPr>
          <w:rFonts w:eastAsia="仿宋_GB2312"/>
          <w:color w:val="000000" w:themeColor="text1"/>
          <w:sz w:val="18"/>
          <w:szCs w:val="18"/>
        </w:rPr>
        <w:t>3</w:t>
      </w:r>
      <w:r>
        <w:rPr>
          <w:rFonts w:eastAsia="仿宋_GB2312"/>
          <w:color w:val="000000" w:themeColor="text1"/>
          <w:sz w:val="18"/>
          <w:szCs w:val="18"/>
        </w:rPr>
        <w:t>类区标准适用于工业区；</w:t>
      </w:r>
    </w:p>
    <w:p w14:paraId="64211D17" w14:textId="77777777" w:rsidR="003215F1" w:rsidRDefault="00684A8A">
      <w:pPr>
        <w:spacing w:line="300" w:lineRule="exact"/>
        <w:ind w:firstLineChars="200" w:firstLine="360"/>
        <w:rPr>
          <w:rFonts w:eastAsia="仿宋_GB2312"/>
          <w:color w:val="000000" w:themeColor="text1"/>
          <w:sz w:val="18"/>
          <w:szCs w:val="18"/>
        </w:rPr>
      </w:pPr>
      <w:r>
        <w:rPr>
          <w:rFonts w:eastAsia="仿宋_GB2312"/>
          <w:color w:val="000000" w:themeColor="text1"/>
          <w:sz w:val="18"/>
          <w:szCs w:val="18"/>
        </w:rPr>
        <w:t>4</w:t>
      </w:r>
      <w:r>
        <w:rPr>
          <w:rFonts w:eastAsia="仿宋_GB2312"/>
          <w:color w:val="000000" w:themeColor="text1"/>
          <w:sz w:val="18"/>
          <w:szCs w:val="18"/>
        </w:rPr>
        <w:t>类区标准适用于城市中的道路交通干线道路两侧区域（本文</w:t>
      </w:r>
      <w:r>
        <w:rPr>
          <w:rFonts w:eastAsia="仿宋_GB2312"/>
          <w:color w:val="000000" w:themeColor="text1"/>
          <w:sz w:val="18"/>
          <w:szCs w:val="18"/>
        </w:rPr>
        <w:t>4</w:t>
      </w:r>
      <w:r>
        <w:rPr>
          <w:rFonts w:eastAsia="仿宋_GB2312"/>
          <w:color w:val="000000" w:themeColor="text1"/>
          <w:sz w:val="18"/>
          <w:szCs w:val="18"/>
        </w:rPr>
        <w:t>类区执行《声环境质量标准》（</w:t>
      </w:r>
      <w:r>
        <w:rPr>
          <w:rFonts w:eastAsia="仿宋_GB2312"/>
          <w:color w:val="000000" w:themeColor="text1"/>
          <w:sz w:val="18"/>
          <w:szCs w:val="18"/>
        </w:rPr>
        <w:t>GB3096-2008</w:t>
      </w:r>
      <w:r>
        <w:rPr>
          <w:rFonts w:eastAsia="仿宋_GB2312"/>
          <w:color w:val="000000" w:themeColor="text1"/>
          <w:sz w:val="18"/>
          <w:szCs w:val="18"/>
        </w:rPr>
        <w:t>）中</w:t>
      </w:r>
      <w:r>
        <w:rPr>
          <w:rFonts w:eastAsia="仿宋_GB2312"/>
          <w:color w:val="000000" w:themeColor="text1"/>
          <w:sz w:val="18"/>
          <w:szCs w:val="18"/>
        </w:rPr>
        <w:t>4a</w:t>
      </w:r>
      <w:r>
        <w:rPr>
          <w:rFonts w:eastAsia="仿宋_GB2312"/>
          <w:color w:val="000000" w:themeColor="text1"/>
          <w:sz w:val="18"/>
          <w:szCs w:val="18"/>
        </w:rPr>
        <w:t>类标准）。</w:t>
      </w:r>
    </w:p>
    <w:p w14:paraId="27B0C77C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560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从</w:t>
      </w:r>
      <w:r>
        <w:rPr>
          <w:rFonts w:eastAsia="方正仿宋_GBK" w:hint="eastAsia"/>
          <w:color w:val="000000" w:themeColor="text1"/>
          <w:sz w:val="28"/>
          <w:szCs w:val="28"/>
        </w:rPr>
        <w:t>监测结果</w:t>
      </w:r>
      <w:r>
        <w:rPr>
          <w:rFonts w:eastAsia="方正仿宋_GBK"/>
          <w:color w:val="000000" w:themeColor="text1"/>
          <w:sz w:val="28"/>
          <w:szCs w:val="28"/>
        </w:rPr>
        <w:t>来看，</w:t>
      </w:r>
      <w:r>
        <w:rPr>
          <w:rFonts w:eastAsia="方正仿宋_GBK"/>
          <w:color w:val="000000" w:themeColor="text1"/>
          <w:sz w:val="28"/>
          <w:szCs w:val="28"/>
        </w:rPr>
        <w:t>2025</w:t>
      </w:r>
      <w:r>
        <w:rPr>
          <w:rFonts w:eastAsia="方正仿宋_GBK"/>
          <w:color w:val="000000" w:themeColor="text1"/>
          <w:sz w:val="28"/>
          <w:szCs w:val="28"/>
        </w:rPr>
        <w:t>年市区昼间和夜间达标率分别为</w:t>
      </w:r>
      <w:r>
        <w:rPr>
          <w:rFonts w:eastAsia="方正仿宋_GBK" w:hint="eastAsia"/>
          <w:color w:val="000000" w:themeColor="text1"/>
          <w:sz w:val="28"/>
          <w:szCs w:val="28"/>
        </w:rPr>
        <w:t>9</w:t>
      </w:r>
      <w:r>
        <w:rPr>
          <w:rFonts w:eastAsia="方正仿宋_GBK"/>
          <w:color w:val="000000" w:themeColor="text1"/>
          <w:sz w:val="28"/>
          <w:szCs w:val="28"/>
        </w:rPr>
        <w:t>0.6%</w:t>
      </w:r>
      <w:r>
        <w:rPr>
          <w:rFonts w:eastAsia="方正仿宋_GBK"/>
          <w:color w:val="000000" w:themeColor="text1"/>
          <w:sz w:val="28"/>
          <w:szCs w:val="28"/>
        </w:rPr>
        <w:t>和</w:t>
      </w:r>
      <w:r>
        <w:rPr>
          <w:rFonts w:eastAsia="方正仿宋_GBK"/>
          <w:color w:val="000000" w:themeColor="text1"/>
          <w:sz w:val="28"/>
          <w:szCs w:val="28"/>
        </w:rPr>
        <w:t>87.9%</w:t>
      </w:r>
      <w:r>
        <w:rPr>
          <w:rFonts w:eastAsia="方正仿宋_GBK"/>
          <w:color w:val="000000" w:themeColor="text1"/>
          <w:sz w:val="28"/>
          <w:szCs w:val="28"/>
        </w:rPr>
        <w:t>；江阴</w:t>
      </w:r>
      <w:r>
        <w:rPr>
          <w:rFonts w:eastAsia="方正仿宋_GBK" w:hint="eastAsia"/>
          <w:color w:val="000000" w:themeColor="text1"/>
          <w:sz w:val="28"/>
          <w:szCs w:val="28"/>
        </w:rPr>
        <w:t>市</w:t>
      </w:r>
      <w:r>
        <w:rPr>
          <w:rFonts w:eastAsia="方正仿宋_GBK"/>
          <w:color w:val="000000" w:themeColor="text1"/>
          <w:sz w:val="28"/>
          <w:szCs w:val="28"/>
        </w:rPr>
        <w:t>昼间和夜间达标率分别为</w:t>
      </w:r>
      <w:r>
        <w:rPr>
          <w:rFonts w:eastAsia="方正仿宋_GBK" w:hint="eastAsia"/>
          <w:color w:val="000000" w:themeColor="text1"/>
          <w:sz w:val="28"/>
          <w:szCs w:val="28"/>
        </w:rPr>
        <w:t>100.0</w:t>
      </w:r>
      <w:r>
        <w:rPr>
          <w:rFonts w:eastAsia="方正仿宋_GBK"/>
          <w:color w:val="000000" w:themeColor="text1"/>
          <w:sz w:val="28"/>
          <w:szCs w:val="28"/>
        </w:rPr>
        <w:t>%</w:t>
      </w:r>
      <w:r>
        <w:rPr>
          <w:rFonts w:eastAsia="方正仿宋_GBK"/>
          <w:color w:val="000000" w:themeColor="text1"/>
          <w:sz w:val="28"/>
          <w:szCs w:val="28"/>
        </w:rPr>
        <w:t>和</w:t>
      </w:r>
      <w:r>
        <w:rPr>
          <w:rFonts w:eastAsia="方正仿宋_GBK" w:hint="eastAsia"/>
          <w:color w:val="000000" w:themeColor="text1"/>
          <w:sz w:val="28"/>
          <w:szCs w:val="28"/>
        </w:rPr>
        <w:t>93.8</w:t>
      </w:r>
      <w:r>
        <w:rPr>
          <w:rFonts w:eastAsia="方正仿宋_GBK"/>
          <w:color w:val="000000" w:themeColor="text1"/>
          <w:sz w:val="28"/>
          <w:szCs w:val="28"/>
        </w:rPr>
        <w:t>%</w:t>
      </w:r>
      <w:r>
        <w:rPr>
          <w:rFonts w:eastAsia="方正仿宋_GBK"/>
          <w:color w:val="000000" w:themeColor="text1"/>
          <w:sz w:val="28"/>
          <w:szCs w:val="28"/>
        </w:rPr>
        <w:t>；宜兴</w:t>
      </w:r>
      <w:r>
        <w:rPr>
          <w:rFonts w:eastAsia="方正仿宋_GBK" w:hint="eastAsia"/>
          <w:color w:val="000000" w:themeColor="text1"/>
          <w:sz w:val="28"/>
          <w:szCs w:val="28"/>
        </w:rPr>
        <w:t>市</w:t>
      </w:r>
      <w:r>
        <w:rPr>
          <w:rFonts w:eastAsia="方正仿宋_GBK"/>
          <w:color w:val="000000" w:themeColor="text1"/>
          <w:sz w:val="28"/>
          <w:szCs w:val="28"/>
        </w:rPr>
        <w:t>昼间和夜间达标率均为</w:t>
      </w:r>
      <w:r>
        <w:rPr>
          <w:rFonts w:eastAsia="方正仿宋_GBK"/>
          <w:color w:val="000000" w:themeColor="text1"/>
          <w:sz w:val="28"/>
          <w:szCs w:val="28"/>
        </w:rPr>
        <w:t>100.0%</w:t>
      </w:r>
      <w:r>
        <w:rPr>
          <w:rFonts w:eastAsia="方正仿宋_GBK"/>
          <w:color w:val="000000" w:themeColor="text1"/>
          <w:sz w:val="28"/>
          <w:szCs w:val="28"/>
        </w:rPr>
        <w:t>。</w:t>
      </w:r>
    </w:p>
    <w:p w14:paraId="65BD0A2A" w14:textId="77777777" w:rsidR="003215F1" w:rsidRDefault="00684A8A">
      <w:pPr>
        <w:jc w:val="center"/>
        <w:rPr>
          <w:rFonts w:eastAsia="仿宋_GB2312"/>
          <w:color w:val="FF0000"/>
          <w:sz w:val="28"/>
          <w:szCs w:val="28"/>
        </w:rPr>
      </w:pPr>
      <w:r>
        <w:rPr>
          <w:rFonts w:ascii="黑体" w:eastAsia="黑体" w:hAnsi="黑体"/>
          <w:bCs/>
          <w:color w:val="000000" w:themeColor="text1"/>
          <w:sz w:val="24"/>
        </w:rPr>
        <w:t>图</w:t>
      </w:r>
      <w:r>
        <w:rPr>
          <w:rFonts w:ascii="黑体" w:eastAsia="黑体" w:hAnsi="黑体"/>
          <w:bCs/>
          <w:color w:val="000000" w:themeColor="text1"/>
          <w:sz w:val="24"/>
        </w:rPr>
        <w:t>1.  2025</w:t>
      </w:r>
      <w:r>
        <w:rPr>
          <w:rFonts w:ascii="黑体" w:eastAsia="黑体" w:hAnsi="黑体"/>
          <w:bCs/>
          <w:color w:val="000000" w:themeColor="text1"/>
          <w:sz w:val="24"/>
        </w:rPr>
        <w:t>年上半年无锡功能区噪声昼夜达标率情况</w:t>
      </w:r>
    </w:p>
    <w:p w14:paraId="6CCF155D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rPr>
          <w:rFonts w:eastAsia="黑体"/>
          <w:b/>
          <w:szCs w:val="30"/>
        </w:rPr>
      </w:pPr>
      <w:r>
        <w:rPr>
          <w:noProof/>
        </w:rPr>
        <w:drawing>
          <wp:inline distT="0" distB="0" distL="0" distR="0">
            <wp:extent cx="5781675" cy="355282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C35EEC1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560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lastRenderedPageBreak/>
        <w:t>按</w:t>
      </w:r>
      <w:r>
        <w:rPr>
          <w:rFonts w:eastAsia="方正仿宋_GBK"/>
          <w:color w:val="000000" w:themeColor="text1"/>
          <w:sz w:val="28"/>
          <w:szCs w:val="28"/>
        </w:rPr>
        <w:t>各功能区</w:t>
      </w:r>
      <w:bookmarkStart w:id="2" w:name="_Hlk202431596"/>
      <w:r>
        <w:rPr>
          <w:rFonts w:eastAsia="方正仿宋_GBK" w:hint="eastAsia"/>
          <w:color w:val="000000" w:themeColor="text1"/>
          <w:sz w:val="28"/>
          <w:szCs w:val="28"/>
        </w:rPr>
        <w:t>划分统计：</w:t>
      </w:r>
    </w:p>
    <w:p w14:paraId="170475CF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560"/>
        <w:jc w:val="lef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.</w:t>
      </w:r>
      <w:r>
        <w:rPr>
          <w:rFonts w:eastAsia="方正仿宋_GBK" w:hint="eastAsia"/>
          <w:color w:val="000000" w:themeColor="text1"/>
          <w:sz w:val="28"/>
          <w:szCs w:val="28"/>
        </w:rPr>
        <w:t>无锡市区</w:t>
      </w:r>
      <w:bookmarkStart w:id="3" w:name="_Hlk202445496"/>
      <w:r>
        <w:rPr>
          <w:rFonts w:eastAsia="方正仿宋_GBK" w:hint="eastAsia"/>
          <w:color w:val="000000" w:themeColor="text1"/>
          <w:sz w:val="28"/>
          <w:szCs w:val="28"/>
        </w:rPr>
        <w:t>（</w:t>
      </w:r>
      <w:r>
        <w:rPr>
          <w:rFonts w:eastAsia="方正仿宋_GBK" w:hint="eastAsia"/>
          <w:color w:val="000000" w:themeColor="text1"/>
          <w:sz w:val="28"/>
          <w:szCs w:val="28"/>
        </w:rPr>
        <w:t>采用</w:t>
      </w:r>
      <w:r>
        <w:rPr>
          <w:rFonts w:eastAsia="方正仿宋_GBK" w:hint="eastAsia"/>
          <w:color w:val="000000" w:themeColor="text1"/>
          <w:sz w:val="28"/>
          <w:szCs w:val="28"/>
        </w:rPr>
        <w:t>自动监测）：</w:t>
      </w:r>
      <w:bookmarkEnd w:id="3"/>
      <w:r>
        <w:rPr>
          <w:rFonts w:eastAsia="方正仿宋_GBK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/>
          <w:color w:val="000000" w:themeColor="text1"/>
          <w:sz w:val="28"/>
          <w:szCs w:val="28"/>
        </w:rPr>
        <w:t>80.7%</w:t>
      </w:r>
      <w:r>
        <w:rPr>
          <w:rFonts w:eastAsia="方正仿宋_GBK"/>
          <w:color w:val="000000" w:themeColor="text1"/>
          <w:sz w:val="28"/>
          <w:szCs w:val="28"/>
        </w:rPr>
        <w:t>、夜间达标率</w:t>
      </w: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1.8%</w:t>
      </w:r>
      <w:r>
        <w:rPr>
          <w:rFonts w:eastAsia="方正仿宋_GBK"/>
          <w:color w:val="000000" w:themeColor="text1"/>
          <w:sz w:val="28"/>
          <w:szCs w:val="28"/>
        </w:rPr>
        <w:t>；</w:t>
      </w:r>
      <w:r>
        <w:rPr>
          <w:rFonts w:eastAsia="方正仿宋_GBK"/>
          <w:color w:val="000000" w:themeColor="text1"/>
          <w:sz w:val="28"/>
          <w:szCs w:val="28"/>
        </w:rPr>
        <w:t>2</w:t>
      </w:r>
      <w:bookmarkStart w:id="4" w:name="_Hlk202445312"/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/>
          <w:color w:val="000000" w:themeColor="text1"/>
          <w:sz w:val="28"/>
          <w:szCs w:val="28"/>
        </w:rPr>
        <w:t>86.2%</w:t>
      </w:r>
      <w:r>
        <w:rPr>
          <w:rFonts w:eastAsia="方正仿宋_GBK"/>
          <w:color w:val="000000" w:themeColor="text1"/>
          <w:sz w:val="28"/>
          <w:szCs w:val="28"/>
        </w:rPr>
        <w:t>、夜间达标率</w:t>
      </w:r>
      <w:r>
        <w:rPr>
          <w:rFonts w:eastAsia="方正仿宋_GBK"/>
          <w:color w:val="000000" w:themeColor="text1"/>
          <w:sz w:val="28"/>
          <w:szCs w:val="28"/>
        </w:rPr>
        <w:t>91.8%</w:t>
      </w:r>
      <w:bookmarkEnd w:id="4"/>
      <w:r>
        <w:rPr>
          <w:rFonts w:eastAsia="方正仿宋_GBK"/>
          <w:color w:val="000000" w:themeColor="text1"/>
          <w:sz w:val="28"/>
          <w:szCs w:val="28"/>
        </w:rPr>
        <w:t>；</w:t>
      </w:r>
      <w:r>
        <w:rPr>
          <w:rFonts w:eastAsia="方正仿宋_GBK"/>
          <w:color w:val="000000" w:themeColor="text1"/>
          <w:sz w:val="28"/>
          <w:szCs w:val="28"/>
        </w:rPr>
        <w:t>3</w:t>
      </w:r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/>
          <w:color w:val="000000" w:themeColor="text1"/>
          <w:sz w:val="28"/>
          <w:szCs w:val="28"/>
        </w:rPr>
        <w:t>98.1%</w:t>
      </w:r>
      <w:r>
        <w:rPr>
          <w:rFonts w:eastAsia="方正仿宋_GBK"/>
          <w:color w:val="000000" w:themeColor="text1"/>
          <w:sz w:val="28"/>
          <w:szCs w:val="28"/>
        </w:rPr>
        <w:t>、夜间达标率</w:t>
      </w:r>
      <w:r>
        <w:rPr>
          <w:rFonts w:eastAsia="方正仿宋_GBK"/>
          <w:color w:val="000000" w:themeColor="text1"/>
          <w:sz w:val="28"/>
          <w:szCs w:val="28"/>
        </w:rPr>
        <w:t>98.3%</w:t>
      </w:r>
      <w:r>
        <w:rPr>
          <w:rFonts w:eastAsia="方正仿宋_GBK"/>
          <w:color w:val="000000" w:themeColor="text1"/>
          <w:sz w:val="28"/>
          <w:szCs w:val="28"/>
        </w:rPr>
        <w:t>；</w:t>
      </w:r>
      <w:r>
        <w:rPr>
          <w:rFonts w:eastAsia="方正仿宋_GBK"/>
          <w:color w:val="000000" w:themeColor="text1"/>
          <w:sz w:val="28"/>
          <w:szCs w:val="28"/>
        </w:rPr>
        <w:t>4</w:t>
      </w:r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/>
          <w:color w:val="000000" w:themeColor="text1"/>
          <w:sz w:val="28"/>
          <w:szCs w:val="28"/>
        </w:rPr>
        <w:t>99.1%</w:t>
      </w:r>
      <w:r>
        <w:rPr>
          <w:rFonts w:eastAsia="方正仿宋_GBK"/>
          <w:color w:val="000000" w:themeColor="text1"/>
          <w:sz w:val="28"/>
          <w:szCs w:val="28"/>
        </w:rPr>
        <w:t>、夜间达标率</w:t>
      </w:r>
      <w:r>
        <w:rPr>
          <w:rFonts w:eastAsia="方正仿宋_GBK"/>
          <w:color w:val="000000" w:themeColor="text1"/>
          <w:sz w:val="28"/>
          <w:szCs w:val="28"/>
        </w:rPr>
        <w:t>92.8%</w:t>
      </w:r>
      <w:r>
        <w:rPr>
          <w:rFonts w:eastAsia="方正仿宋_GBK"/>
          <w:color w:val="000000" w:themeColor="text1"/>
          <w:sz w:val="28"/>
          <w:szCs w:val="28"/>
        </w:rPr>
        <w:t>。</w:t>
      </w:r>
      <w:bookmarkEnd w:id="2"/>
    </w:p>
    <w:p w14:paraId="4E07449B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480"/>
        <w:jc w:val="left"/>
        <w:rPr>
          <w:rFonts w:ascii="黑体" w:eastAsia="黑体" w:hAnsi="黑体"/>
          <w:bCs/>
          <w:color w:val="000000" w:themeColor="text1"/>
          <w:sz w:val="24"/>
        </w:rPr>
      </w:pPr>
      <w:r>
        <w:rPr>
          <w:rFonts w:ascii="黑体" w:eastAsia="黑体" w:hAnsi="黑体" w:hint="eastAsia"/>
          <w:bCs/>
          <w:color w:val="000000" w:themeColor="text1"/>
          <w:sz w:val="24"/>
        </w:rPr>
        <w:t>表</w:t>
      </w:r>
      <w:r>
        <w:rPr>
          <w:rFonts w:ascii="黑体" w:eastAsia="黑体" w:hAnsi="黑体"/>
          <w:bCs/>
          <w:color w:val="000000" w:themeColor="text1"/>
          <w:sz w:val="24"/>
        </w:rPr>
        <w:t>2.  2025</w:t>
      </w:r>
      <w:r>
        <w:rPr>
          <w:rFonts w:ascii="黑体" w:eastAsia="黑体" w:hAnsi="黑体" w:hint="eastAsia"/>
          <w:bCs/>
          <w:color w:val="000000" w:themeColor="text1"/>
          <w:sz w:val="24"/>
        </w:rPr>
        <w:t>年上半年功能区噪声自动监测点位达标率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954"/>
        <w:gridCol w:w="825"/>
        <w:gridCol w:w="761"/>
        <w:gridCol w:w="785"/>
        <w:gridCol w:w="709"/>
        <w:gridCol w:w="820"/>
        <w:gridCol w:w="739"/>
        <w:gridCol w:w="851"/>
        <w:gridCol w:w="883"/>
      </w:tblGrid>
      <w:tr w:rsidR="003215F1" w14:paraId="4C2A2965" w14:textId="77777777">
        <w:trPr>
          <w:trHeight w:val="285"/>
        </w:trPr>
        <w:tc>
          <w:tcPr>
            <w:tcW w:w="621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noWrap/>
            <w:vAlign w:val="center"/>
          </w:tcPr>
          <w:p w14:paraId="0E220346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954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noWrap/>
            <w:vAlign w:val="center"/>
          </w:tcPr>
          <w:p w14:paraId="5E543836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功能区类别</w:t>
            </w:r>
          </w:p>
        </w:tc>
        <w:tc>
          <w:tcPr>
            <w:tcW w:w="1586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78073222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494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040A0147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20E129BC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7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95B3D7"/>
            <w:noWrap/>
            <w:vAlign w:val="bottom"/>
          </w:tcPr>
          <w:p w14:paraId="4AD665BE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</w:tr>
      <w:tr w:rsidR="003215F1" w14:paraId="627BCD11" w14:textId="77777777">
        <w:trPr>
          <w:trHeight w:val="96"/>
        </w:trPr>
        <w:tc>
          <w:tcPr>
            <w:tcW w:w="621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A4577A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4182D0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0A5DA6D5" w14:textId="77777777" w:rsidR="003215F1" w:rsidRDefault="00684A8A">
            <w:pPr>
              <w:widowControl/>
              <w:ind w:firstLineChars="100" w:firstLine="20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（居住区）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2C5701DA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（混合区）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2429C652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（工业区）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5B3D7"/>
            <w:noWrap/>
            <w:vAlign w:val="bottom"/>
          </w:tcPr>
          <w:p w14:paraId="4CE23ED3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（交通干线两侧区域）</w:t>
            </w:r>
          </w:p>
        </w:tc>
      </w:tr>
      <w:tr w:rsidR="003215F1" w14:paraId="18E18E81" w14:textId="77777777">
        <w:trPr>
          <w:trHeight w:val="285"/>
        </w:trPr>
        <w:tc>
          <w:tcPr>
            <w:tcW w:w="621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E477AC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C996ED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25CA5147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484A9B66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4DF27734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2615C7FF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47B405EA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5EA69E42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413148E5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5B3D7"/>
            <w:noWrap/>
            <w:vAlign w:val="bottom"/>
          </w:tcPr>
          <w:p w14:paraId="016E851E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</w:tr>
      <w:tr w:rsidR="003215F1" w14:paraId="73EDF0F7" w14:textId="77777777">
        <w:trPr>
          <w:trHeight w:val="52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B66BB07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color w:val="000000"/>
                <w:kern w:val="0"/>
                <w:sz w:val="18"/>
                <w:szCs w:val="18"/>
              </w:rPr>
              <w:t>年上半年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E94C23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达标率（</w:t>
            </w:r>
            <w:r>
              <w:rPr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1B030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A21C32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11.8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8E2D1C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70883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91.8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DE471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98.1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793B9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F3BA6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99.1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46ADB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92.8</w:t>
            </w:r>
          </w:p>
        </w:tc>
      </w:tr>
    </w:tbl>
    <w:p w14:paraId="20F608C6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jc w:val="left"/>
        <w:rPr>
          <w:rFonts w:ascii="方正仿宋_GBK" w:eastAsia="方正仿宋_GBK"/>
          <w:color w:val="000000" w:themeColor="text1"/>
          <w:sz w:val="18"/>
          <w:szCs w:val="18"/>
        </w:rPr>
      </w:pPr>
      <w:r>
        <w:rPr>
          <w:rFonts w:ascii="方正仿宋_GBK" w:eastAsia="方正仿宋_GBK" w:hint="eastAsia"/>
          <w:color w:val="000000" w:themeColor="text1"/>
          <w:sz w:val="18"/>
          <w:szCs w:val="18"/>
        </w:rPr>
        <w:t>注：因从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2025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年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1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月开始，无锡市区启用自动监测系统进行监测，故无法与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2</w:t>
      </w:r>
      <w:r>
        <w:rPr>
          <w:rFonts w:ascii="方正仿宋_GBK" w:eastAsia="方正仿宋_GBK"/>
          <w:color w:val="000000" w:themeColor="text1"/>
          <w:sz w:val="18"/>
          <w:szCs w:val="18"/>
        </w:rPr>
        <w:t>024</w:t>
      </w:r>
      <w:r>
        <w:rPr>
          <w:rFonts w:ascii="方正仿宋_GBK" w:eastAsia="方正仿宋_GBK" w:hint="eastAsia"/>
          <w:color w:val="000000" w:themeColor="text1"/>
          <w:sz w:val="18"/>
          <w:szCs w:val="18"/>
        </w:rPr>
        <w:t>年度同期手工监测进行比对。</w:t>
      </w:r>
    </w:p>
    <w:p w14:paraId="436B14ED" w14:textId="4D0E74C8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560"/>
        <w:jc w:val="lef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 w:hint="eastAsia"/>
          <w:color w:val="000000" w:themeColor="text1"/>
          <w:sz w:val="28"/>
          <w:szCs w:val="28"/>
        </w:rPr>
        <w:t>2</w:t>
      </w:r>
      <w:r>
        <w:rPr>
          <w:rFonts w:eastAsia="方正仿宋_GBK"/>
          <w:color w:val="000000" w:themeColor="text1"/>
          <w:sz w:val="28"/>
          <w:szCs w:val="28"/>
        </w:rPr>
        <w:t>.</w:t>
      </w:r>
      <w:r>
        <w:rPr>
          <w:rFonts w:eastAsia="方正仿宋_GBK" w:hint="eastAsia"/>
          <w:color w:val="000000" w:themeColor="text1"/>
          <w:sz w:val="28"/>
          <w:szCs w:val="28"/>
        </w:rPr>
        <w:t>江阴和宜兴（</w:t>
      </w:r>
      <w:r>
        <w:rPr>
          <w:rFonts w:eastAsia="方正仿宋_GBK" w:hint="eastAsia"/>
          <w:color w:val="000000" w:themeColor="text1"/>
          <w:sz w:val="28"/>
          <w:szCs w:val="28"/>
        </w:rPr>
        <w:t>采用</w:t>
      </w:r>
      <w:r>
        <w:rPr>
          <w:rFonts w:eastAsia="方正仿宋_GBK" w:hint="eastAsia"/>
          <w:color w:val="000000" w:themeColor="text1"/>
          <w:sz w:val="28"/>
          <w:szCs w:val="28"/>
        </w:rPr>
        <w:t>手工监测）：</w:t>
      </w:r>
      <w:r>
        <w:rPr>
          <w:rFonts w:eastAsia="方正仿宋_GBK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/>
          <w:color w:val="000000" w:themeColor="text1"/>
          <w:sz w:val="28"/>
          <w:szCs w:val="28"/>
        </w:rPr>
        <w:t>100.0%</w:t>
      </w:r>
      <w:r>
        <w:rPr>
          <w:rFonts w:eastAsia="方正仿宋_GBK"/>
          <w:color w:val="000000" w:themeColor="text1"/>
          <w:sz w:val="28"/>
          <w:szCs w:val="28"/>
        </w:rPr>
        <w:t>、夜间达标率</w:t>
      </w:r>
      <w:r>
        <w:rPr>
          <w:rFonts w:eastAsia="方正仿宋_GBK" w:hint="eastAsia"/>
          <w:color w:val="000000" w:themeColor="text1"/>
          <w:sz w:val="28"/>
          <w:szCs w:val="28"/>
        </w:rPr>
        <w:t>8</w:t>
      </w:r>
      <w:r>
        <w:rPr>
          <w:rFonts w:eastAsia="方正仿宋_GBK"/>
          <w:color w:val="000000" w:themeColor="text1"/>
          <w:sz w:val="28"/>
          <w:szCs w:val="28"/>
        </w:rPr>
        <w:t>7.5%</w:t>
      </w:r>
      <w:r>
        <w:rPr>
          <w:rFonts w:eastAsia="方正仿宋_GBK"/>
          <w:color w:val="000000" w:themeColor="text1"/>
          <w:sz w:val="28"/>
          <w:szCs w:val="28"/>
        </w:rPr>
        <w:t>，</w:t>
      </w:r>
      <w:r>
        <w:rPr>
          <w:rFonts w:eastAsia="方正仿宋_GBK"/>
          <w:color w:val="000000" w:themeColor="text1"/>
          <w:sz w:val="28"/>
          <w:szCs w:val="28"/>
        </w:rPr>
        <w:t>2</w:t>
      </w:r>
      <w:r>
        <w:rPr>
          <w:rFonts w:eastAsia="方正仿宋_GBK" w:hint="eastAsia"/>
          <w:color w:val="000000" w:themeColor="text1"/>
          <w:sz w:val="28"/>
          <w:szCs w:val="28"/>
        </w:rPr>
        <w:t>、</w:t>
      </w:r>
      <w:r>
        <w:rPr>
          <w:rFonts w:eastAsia="方正仿宋_GBK" w:hint="eastAsia"/>
          <w:color w:val="000000" w:themeColor="text1"/>
          <w:sz w:val="28"/>
          <w:szCs w:val="28"/>
        </w:rPr>
        <w:t>3</w:t>
      </w:r>
      <w:r>
        <w:rPr>
          <w:rFonts w:eastAsia="方正仿宋_GBK" w:hint="eastAsia"/>
          <w:color w:val="000000" w:themeColor="text1"/>
          <w:sz w:val="28"/>
          <w:szCs w:val="28"/>
        </w:rPr>
        <w:t>、</w:t>
      </w:r>
      <w:r>
        <w:rPr>
          <w:rFonts w:eastAsia="方正仿宋_GBK" w:hint="eastAsia"/>
          <w:color w:val="000000" w:themeColor="text1"/>
          <w:sz w:val="28"/>
          <w:szCs w:val="28"/>
        </w:rPr>
        <w:t>4</w:t>
      </w:r>
      <w:r>
        <w:rPr>
          <w:rFonts w:eastAsia="方正仿宋_GBK"/>
          <w:color w:val="000000" w:themeColor="text1"/>
          <w:sz w:val="28"/>
          <w:szCs w:val="28"/>
        </w:rPr>
        <w:t>类功能区昼间达标率</w:t>
      </w:r>
      <w:r>
        <w:rPr>
          <w:rFonts w:eastAsia="方正仿宋_GBK" w:hint="eastAsia"/>
          <w:color w:val="000000" w:themeColor="text1"/>
          <w:sz w:val="28"/>
          <w:szCs w:val="28"/>
        </w:rPr>
        <w:t>和夜间达标率均为</w:t>
      </w:r>
      <w:r>
        <w:rPr>
          <w:rFonts w:eastAsia="方正仿宋_GBK" w:hint="eastAsia"/>
          <w:color w:val="000000" w:themeColor="text1"/>
          <w:sz w:val="28"/>
          <w:szCs w:val="28"/>
        </w:rPr>
        <w:t>100.0</w:t>
      </w:r>
      <w:r>
        <w:rPr>
          <w:rFonts w:eastAsia="方正仿宋_GBK"/>
          <w:color w:val="000000" w:themeColor="text1"/>
          <w:sz w:val="28"/>
          <w:szCs w:val="28"/>
        </w:rPr>
        <w:t>%</w:t>
      </w:r>
      <w:r>
        <w:rPr>
          <w:rFonts w:eastAsia="方正仿宋_GBK"/>
          <w:color w:val="000000" w:themeColor="text1"/>
          <w:sz w:val="28"/>
          <w:szCs w:val="28"/>
        </w:rPr>
        <w:t>。</w:t>
      </w:r>
      <w:r>
        <w:rPr>
          <w:rFonts w:eastAsia="方正仿宋_GBK" w:hint="eastAsia"/>
          <w:color w:val="000000" w:themeColor="text1"/>
          <w:sz w:val="28"/>
          <w:szCs w:val="28"/>
        </w:rPr>
        <w:t>与</w:t>
      </w:r>
      <w:r>
        <w:rPr>
          <w:rFonts w:eastAsia="方正仿宋_GBK" w:hint="eastAsia"/>
          <w:color w:val="000000" w:themeColor="text1"/>
          <w:sz w:val="28"/>
          <w:szCs w:val="28"/>
        </w:rPr>
        <w:t>去</w:t>
      </w:r>
      <w:r>
        <w:rPr>
          <w:rFonts w:eastAsia="方正仿宋_GBK" w:hint="eastAsia"/>
          <w:color w:val="000000" w:themeColor="text1"/>
          <w:sz w:val="28"/>
          <w:szCs w:val="28"/>
        </w:rPr>
        <w:t>年同期相比，</w:t>
      </w:r>
      <w:r>
        <w:rPr>
          <w:rFonts w:eastAsia="方正仿宋_GBK"/>
          <w:color w:val="000000" w:themeColor="text1"/>
          <w:sz w:val="28"/>
          <w:szCs w:val="28"/>
        </w:rPr>
        <w:t>1</w:t>
      </w:r>
      <w:r>
        <w:rPr>
          <w:rFonts w:eastAsia="方正仿宋_GBK" w:hint="eastAsia"/>
          <w:color w:val="000000" w:themeColor="text1"/>
          <w:sz w:val="28"/>
          <w:szCs w:val="28"/>
        </w:rPr>
        <w:t>类功能区昼间达标率下降</w:t>
      </w:r>
      <w:r>
        <w:rPr>
          <w:rFonts w:eastAsia="方正仿宋_GBK"/>
          <w:color w:val="000000" w:themeColor="text1"/>
          <w:sz w:val="28"/>
          <w:szCs w:val="28"/>
        </w:rPr>
        <w:t>12.5</w:t>
      </w:r>
      <w:r>
        <w:rPr>
          <w:rFonts w:eastAsia="方正仿宋_GBK" w:hint="eastAsia"/>
          <w:color w:val="000000" w:themeColor="text1"/>
          <w:sz w:val="28"/>
          <w:szCs w:val="28"/>
        </w:rPr>
        <w:t>个百分点；</w:t>
      </w:r>
      <w:r>
        <w:rPr>
          <w:rFonts w:eastAsia="方正仿宋_GBK"/>
          <w:color w:val="000000" w:themeColor="text1"/>
          <w:sz w:val="28"/>
          <w:szCs w:val="28"/>
        </w:rPr>
        <w:t>4</w:t>
      </w:r>
      <w:r>
        <w:rPr>
          <w:rFonts w:eastAsia="方正仿宋_GBK" w:hint="eastAsia"/>
          <w:color w:val="000000" w:themeColor="text1"/>
          <w:sz w:val="28"/>
          <w:szCs w:val="28"/>
        </w:rPr>
        <w:t>类功能区夜间达标率上升</w:t>
      </w: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/>
          <w:color w:val="000000" w:themeColor="text1"/>
          <w:sz w:val="28"/>
          <w:szCs w:val="28"/>
        </w:rPr>
        <w:t>6.7</w:t>
      </w:r>
      <w:r>
        <w:rPr>
          <w:rFonts w:eastAsia="方正仿宋_GBK" w:hint="eastAsia"/>
          <w:color w:val="000000" w:themeColor="text1"/>
          <w:sz w:val="28"/>
          <w:szCs w:val="28"/>
        </w:rPr>
        <w:t>个百分点。（注：</w:t>
      </w:r>
      <w:r>
        <w:rPr>
          <w:rFonts w:eastAsia="方正仿宋_GBK" w:hint="eastAsia"/>
          <w:color w:val="000000" w:themeColor="text1"/>
          <w:sz w:val="28"/>
          <w:szCs w:val="28"/>
        </w:rPr>
        <w:t>1</w:t>
      </w:r>
      <w:r>
        <w:rPr>
          <w:rFonts w:eastAsia="方正仿宋_GBK" w:hint="eastAsia"/>
          <w:color w:val="000000" w:themeColor="text1"/>
          <w:sz w:val="28"/>
          <w:szCs w:val="28"/>
        </w:rPr>
        <w:t>类功能区江阴鹅鼻嘴公园点位夜间不达标。</w:t>
      </w:r>
      <w:bookmarkStart w:id="5" w:name="_GoBack"/>
      <w:bookmarkEnd w:id="5"/>
      <w:r>
        <w:rPr>
          <w:rFonts w:eastAsia="方正仿宋_GBK" w:hint="eastAsia"/>
          <w:color w:val="000000" w:themeColor="text1"/>
          <w:sz w:val="28"/>
          <w:szCs w:val="28"/>
        </w:rPr>
        <w:t>）</w:t>
      </w:r>
    </w:p>
    <w:p w14:paraId="6083C6BF" w14:textId="77777777" w:rsidR="003215F1" w:rsidRDefault="00684A8A">
      <w:pPr>
        <w:tabs>
          <w:tab w:val="center" w:pos="4156"/>
          <w:tab w:val="left" w:pos="7125"/>
        </w:tabs>
        <w:adjustRightInd w:val="0"/>
        <w:snapToGrid w:val="0"/>
        <w:spacing w:line="460" w:lineRule="exact"/>
        <w:ind w:firstLineChars="200" w:firstLine="480"/>
        <w:jc w:val="left"/>
        <w:rPr>
          <w:rFonts w:ascii="黑体" w:eastAsia="黑体" w:hAnsi="黑体"/>
          <w:bCs/>
          <w:color w:val="000000" w:themeColor="text1"/>
          <w:sz w:val="24"/>
        </w:rPr>
      </w:pPr>
      <w:bookmarkStart w:id="6" w:name="_Hlk202537587"/>
      <w:r>
        <w:rPr>
          <w:rFonts w:ascii="黑体" w:eastAsia="黑体" w:hAnsi="黑体" w:hint="eastAsia"/>
          <w:bCs/>
          <w:color w:val="000000" w:themeColor="text1"/>
          <w:sz w:val="24"/>
        </w:rPr>
        <w:t>表</w:t>
      </w:r>
      <w:r>
        <w:rPr>
          <w:rFonts w:ascii="黑体" w:eastAsia="黑体" w:hAnsi="黑体"/>
          <w:bCs/>
          <w:color w:val="000000" w:themeColor="text1"/>
          <w:sz w:val="24"/>
        </w:rPr>
        <w:t>3.  2025</w:t>
      </w:r>
      <w:r>
        <w:rPr>
          <w:rFonts w:ascii="黑体" w:eastAsia="黑体" w:hAnsi="黑体" w:hint="eastAsia"/>
          <w:bCs/>
          <w:color w:val="000000" w:themeColor="text1"/>
          <w:sz w:val="24"/>
        </w:rPr>
        <w:t>年上半年功能区噪声手工监测点位达标率及同比情况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1"/>
        <w:gridCol w:w="954"/>
        <w:gridCol w:w="825"/>
        <w:gridCol w:w="761"/>
        <w:gridCol w:w="785"/>
        <w:gridCol w:w="709"/>
        <w:gridCol w:w="820"/>
        <w:gridCol w:w="739"/>
        <w:gridCol w:w="851"/>
        <w:gridCol w:w="883"/>
      </w:tblGrid>
      <w:tr w:rsidR="003215F1" w14:paraId="2D3C72F8" w14:textId="77777777">
        <w:trPr>
          <w:trHeight w:val="285"/>
        </w:trPr>
        <w:tc>
          <w:tcPr>
            <w:tcW w:w="621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noWrap/>
            <w:vAlign w:val="center"/>
          </w:tcPr>
          <w:bookmarkEnd w:id="6"/>
          <w:p w14:paraId="00827946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954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noWrap/>
            <w:vAlign w:val="center"/>
          </w:tcPr>
          <w:p w14:paraId="21C71A73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功能区类别</w:t>
            </w:r>
          </w:p>
        </w:tc>
        <w:tc>
          <w:tcPr>
            <w:tcW w:w="1586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6D14BE0E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494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5850ADC7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04D88B3B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73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95B3D7"/>
            <w:noWrap/>
            <w:vAlign w:val="bottom"/>
          </w:tcPr>
          <w:p w14:paraId="50DAD59A" w14:textId="77777777" w:rsidR="003215F1" w:rsidRDefault="00684A8A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</w:tr>
      <w:tr w:rsidR="003215F1" w14:paraId="0D34D636" w14:textId="77777777">
        <w:trPr>
          <w:trHeight w:val="96"/>
        </w:trPr>
        <w:tc>
          <w:tcPr>
            <w:tcW w:w="621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39DD67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1B1D2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6C6B6705" w14:textId="77777777" w:rsidR="003215F1" w:rsidRDefault="00684A8A">
            <w:pPr>
              <w:widowControl/>
              <w:ind w:firstLineChars="100" w:firstLine="20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（居住区）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1D4739E6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（混合区）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</w:tcPr>
          <w:p w14:paraId="129014BC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（工业区）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5B3D7"/>
            <w:noWrap/>
            <w:vAlign w:val="bottom"/>
          </w:tcPr>
          <w:p w14:paraId="06F69E1A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（交通干线两侧区域）</w:t>
            </w:r>
          </w:p>
        </w:tc>
      </w:tr>
      <w:tr w:rsidR="003215F1" w14:paraId="667AA60D" w14:textId="77777777">
        <w:trPr>
          <w:trHeight w:val="285"/>
        </w:trPr>
        <w:tc>
          <w:tcPr>
            <w:tcW w:w="621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727FF2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A0E803" w14:textId="77777777" w:rsidR="003215F1" w:rsidRDefault="003215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2D7BA20E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7C29E8A0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17FA5777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6FE13BA0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294496FF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3DBF8ED2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noWrap/>
            <w:vAlign w:val="bottom"/>
          </w:tcPr>
          <w:p w14:paraId="7521470B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5B3D7"/>
            <w:noWrap/>
            <w:vAlign w:val="bottom"/>
          </w:tcPr>
          <w:p w14:paraId="2AD4F178" w14:textId="77777777" w:rsidR="003215F1" w:rsidRDefault="00684A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夜</w:t>
            </w:r>
          </w:p>
        </w:tc>
      </w:tr>
      <w:tr w:rsidR="003215F1" w14:paraId="5733524B" w14:textId="77777777">
        <w:trPr>
          <w:trHeight w:val="28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64BEF9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color w:val="000000"/>
                <w:kern w:val="0"/>
                <w:sz w:val="18"/>
                <w:szCs w:val="18"/>
              </w:rPr>
              <w:t>年上半年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D3E9D2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达标点次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6E1FF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BE27B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3C8864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39FF94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7A36B0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851DEB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BAD02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BE9E5E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215F1" w14:paraId="107FD037" w14:textId="77777777">
        <w:trPr>
          <w:trHeight w:val="28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672318" w14:textId="77777777" w:rsidR="003215F1" w:rsidRDefault="003215F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0C3598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监测点次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0EA0C2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6B8A4C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B8F21A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48FB3A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B6E903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AF454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BFFB8A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9203D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215F1" w14:paraId="7A3129BA" w14:textId="77777777">
        <w:trPr>
          <w:trHeight w:val="28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7D5255A" w14:textId="77777777" w:rsidR="003215F1" w:rsidRDefault="003215F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F505C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达标率（</w:t>
            </w:r>
            <w:r>
              <w:rPr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FD5463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3C3DD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C7A77F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7CA4F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6D2453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A4F947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80584C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FEC279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83.3</w:t>
            </w:r>
          </w:p>
        </w:tc>
      </w:tr>
      <w:tr w:rsidR="003215F1" w14:paraId="013D16FD" w14:textId="77777777">
        <w:trPr>
          <w:trHeight w:val="285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E0186AE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年上半年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ADC44E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达标点次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B2E550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6B844F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3FFEE3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616952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42BA2F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FD7DE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55E21F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939C8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215F1" w14:paraId="73F637B9" w14:textId="77777777">
        <w:trPr>
          <w:trHeight w:val="28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F8371F0" w14:textId="77777777" w:rsidR="003215F1" w:rsidRDefault="003215F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AE5737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监测点次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D606C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96807B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8BA622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074BD2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02ACC1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392A6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93E0DE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F7DFC3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3215F1" w14:paraId="03179795" w14:textId="77777777">
        <w:trPr>
          <w:trHeight w:val="285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1F5D9FD" w14:textId="77777777" w:rsidR="003215F1" w:rsidRDefault="003215F1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52D36D" w14:textId="77777777" w:rsidR="003215F1" w:rsidRDefault="00684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达标率（</w:t>
            </w:r>
            <w:r>
              <w:rPr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4AF139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9604F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87.5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32A76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B471D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F340EC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4095E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DC0B88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E4D10A" w14:textId="77777777" w:rsidR="003215F1" w:rsidRDefault="00684A8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100.0</w:t>
            </w:r>
          </w:p>
        </w:tc>
      </w:tr>
    </w:tbl>
    <w:p w14:paraId="7CC59BCC" w14:textId="77777777" w:rsidR="003215F1" w:rsidRDefault="003215F1">
      <w:pPr>
        <w:pStyle w:val="ac"/>
        <w:tabs>
          <w:tab w:val="center" w:pos="4156"/>
          <w:tab w:val="left" w:pos="7125"/>
        </w:tabs>
        <w:adjustRightInd w:val="0"/>
        <w:snapToGrid w:val="0"/>
        <w:spacing w:line="460" w:lineRule="exact"/>
        <w:ind w:left="1280" w:firstLineChars="0" w:firstLine="0"/>
        <w:rPr>
          <w:rFonts w:eastAsia="方正仿宋_GBK"/>
          <w:color w:val="000000" w:themeColor="text1"/>
          <w:sz w:val="28"/>
          <w:szCs w:val="28"/>
        </w:rPr>
      </w:pPr>
    </w:p>
    <w:sectPr w:rsidR="00321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DF"/>
    <w:rsid w:val="00012EB2"/>
    <w:rsid w:val="000145CA"/>
    <w:rsid w:val="00016986"/>
    <w:rsid w:val="00027C20"/>
    <w:rsid w:val="00050E9D"/>
    <w:rsid w:val="00082F43"/>
    <w:rsid w:val="000A5B45"/>
    <w:rsid w:val="000B62F4"/>
    <w:rsid w:val="000D74C1"/>
    <w:rsid w:val="000E5B60"/>
    <w:rsid w:val="000F55D7"/>
    <w:rsid w:val="000F782E"/>
    <w:rsid w:val="00110720"/>
    <w:rsid w:val="00111912"/>
    <w:rsid w:val="00114C49"/>
    <w:rsid w:val="00142E8B"/>
    <w:rsid w:val="00153ED8"/>
    <w:rsid w:val="001700BC"/>
    <w:rsid w:val="001A6B43"/>
    <w:rsid w:val="001E4272"/>
    <w:rsid w:val="001E6030"/>
    <w:rsid w:val="001E6BB4"/>
    <w:rsid w:val="001F79F0"/>
    <w:rsid w:val="00220086"/>
    <w:rsid w:val="00245F3E"/>
    <w:rsid w:val="002D324E"/>
    <w:rsid w:val="002E04E0"/>
    <w:rsid w:val="002F4194"/>
    <w:rsid w:val="00316E9C"/>
    <w:rsid w:val="003215F1"/>
    <w:rsid w:val="003432F4"/>
    <w:rsid w:val="00345B37"/>
    <w:rsid w:val="00346DDB"/>
    <w:rsid w:val="003508AC"/>
    <w:rsid w:val="00351EF6"/>
    <w:rsid w:val="00361AB8"/>
    <w:rsid w:val="0037653A"/>
    <w:rsid w:val="00380562"/>
    <w:rsid w:val="0039661E"/>
    <w:rsid w:val="003A1744"/>
    <w:rsid w:val="003C4F20"/>
    <w:rsid w:val="003E45A8"/>
    <w:rsid w:val="00401D0E"/>
    <w:rsid w:val="00421BE2"/>
    <w:rsid w:val="00444014"/>
    <w:rsid w:val="004568E6"/>
    <w:rsid w:val="004575EB"/>
    <w:rsid w:val="00480980"/>
    <w:rsid w:val="0048796E"/>
    <w:rsid w:val="0052716C"/>
    <w:rsid w:val="005440BF"/>
    <w:rsid w:val="0055425A"/>
    <w:rsid w:val="005634C0"/>
    <w:rsid w:val="00564A4D"/>
    <w:rsid w:val="00582934"/>
    <w:rsid w:val="005868F7"/>
    <w:rsid w:val="005872FB"/>
    <w:rsid w:val="00592461"/>
    <w:rsid w:val="005A3534"/>
    <w:rsid w:val="005A7A72"/>
    <w:rsid w:val="005B144C"/>
    <w:rsid w:val="005B60BB"/>
    <w:rsid w:val="005C2E9F"/>
    <w:rsid w:val="005C47DF"/>
    <w:rsid w:val="005E1047"/>
    <w:rsid w:val="005E2905"/>
    <w:rsid w:val="005F70BF"/>
    <w:rsid w:val="006060F8"/>
    <w:rsid w:val="006227A5"/>
    <w:rsid w:val="0062595B"/>
    <w:rsid w:val="00635817"/>
    <w:rsid w:val="00636938"/>
    <w:rsid w:val="00665178"/>
    <w:rsid w:val="00675545"/>
    <w:rsid w:val="006771E8"/>
    <w:rsid w:val="006836FD"/>
    <w:rsid w:val="00684A8A"/>
    <w:rsid w:val="00696E17"/>
    <w:rsid w:val="006B392B"/>
    <w:rsid w:val="006D4BD7"/>
    <w:rsid w:val="006F2000"/>
    <w:rsid w:val="006F516D"/>
    <w:rsid w:val="00705B2C"/>
    <w:rsid w:val="00717FAF"/>
    <w:rsid w:val="00731E41"/>
    <w:rsid w:val="00752555"/>
    <w:rsid w:val="00757F41"/>
    <w:rsid w:val="00791CA3"/>
    <w:rsid w:val="00794C37"/>
    <w:rsid w:val="007A7B3E"/>
    <w:rsid w:val="007F400D"/>
    <w:rsid w:val="0080534B"/>
    <w:rsid w:val="00837C01"/>
    <w:rsid w:val="00846017"/>
    <w:rsid w:val="00847DD9"/>
    <w:rsid w:val="008C449F"/>
    <w:rsid w:val="008E0099"/>
    <w:rsid w:val="008F0D6F"/>
    <w:rsid w:val="00912A71"/>
    <w:rsid w:val="00915BC3"/>
    <w:rsid w:val="00926060"/>
    <w:rsid w:val="00954C88"/>
    <w:rsid w:val="00955DB9"/>
    <w:rsid w:val="00961AB7"/>
    <w:rsid w:val="00992B61"/>
    <w:rsid w:val="009B1197"/>
    <w:rsid w:val="009B524B"/>
    <w:rsid w:val="009C7017"/>
    <w:rsid w:val="009F4B56"/>
    <w:rsid w:val="00A3099F"/>
    <w:rsid w:val="00A36E0D"/>
    <w:rsid w:val="00A47225"/>
    <w:rsid w:val="00A520AD"/>
    <w:rsid w:val="00A65E76"/>
    <w:rsid w:val="00A7008A"/>
    <w:rsid w:val="00AA79EB"/>
    <w:rsid w:val="00AB003B"/>
    <w:rsid w:val="00AC1D25"/>
    <w:rsid w:val="00AD1499"/>
    <w:rsid w:val="00AD4A3A"/>
    <w:rsid w:val="00AE5059"/>
    <w:rsid w:val="00B2493A"/>
    <w:rsid w:val="00B3678C"/>
    <w:rsid w:val="00B4514D"/>
    <w:rsid w:val="00B60795"/>
    <w:rsid w:val="00B6393D"/>
    <w:rsid w:val="00B72C3C"/>
    <w:rsid w:val="00B8365A"/>
    <w:rsid w:val="00B84742"/>
    <w:rsid w:val="00B96E17"/>
    <w:rsid w:val="00BB4DBD"/>
    <w:rsid w:val="00BC6518"/>
    <w:rsid w:val="00BF0CA7"/>
    <w:rsid w:val="00C01E96"/>
    <w:rsid w:val="00C03405"/>
    <w:rsid w:val="00C37E65"/>
    <w:rsid w:val="00C46BEA"/>
    <w:rsid w:val="00C63754"/>
    <w:rsid w:val="00C65793"/>
    <w:rsid w:val="00C701EE"/>
    <w:rsid w:val="00CA051F"/>
    <w:rsid w:val="00CA5C24"/>
    <w:rsid w:val="00CC4942"/>
    <w:rsid w:val="00CC7B79"/>
    <w:rsid w:val="00CF15E3"/>
    <w:rsid w:val="00CF609A"/>
    <w:rsid w:val="00D05005"/>
    <w:rsid w:val="00D1236E"/>
    <w:rsid w:val="00D179A9"/>
    <w:rsid w:val="00D2394B"/>
    <w:rsid w:val="00D5203B"/>
    <w:rsid w:val="00D55229"/>
    <w:rsid w:val="00D6548A"/>
    <w:rsid w:val="00D90E0C"/>
    <w:rsid w:val="00DB3B8F"/>
    <w:rsid w:val="00DC2464"/>
    <w:rsid w:val="00DE574D"/>
    <w:rsid w:val="00E17836"/>
    <w:rsid w:val="00E32AC7"/>
    <w:rsid w:val="00E60065"/>
    <w:rsid w:val="00E95F3F"/>
    <w:rsid w:val="00EC0D75"/>
    <w:rsid w:val="00EE5DCB"/>
    <w:rsid w:val="00EF7DDA"/>
    <w:rsid w:val="00F07BCF"/>
    <w:rsid w:val="00F221F2"/>
    <w:rsid w:val="00F2342F"/>
    <w:rsid w:val="00F33CF6"/>
    <w:rsid w:val="00F51C7B"/>
    <w:rsid w:val="00F57D11"/>
    <w:rsid w:val="00F855D3"/>
    <w:rsid w:val="00FA272D"/>
    <w:rsid w:val="00FE360A"/>
    <w:rsid w:val="00FE3FE5"/>
    <w:rsid w:val="02471240"/>
    <w:rsid w:val="054B05B4"/>
    <w:rsid w:val="0E4C2B97"/>
    <w:rsid w:val="11351936"/>
    <w:rsid w:val="1AC1303B"/>
    <w:rsid w:val="237132A3"/>
    <w:rsid w:val="28FD052A"/>
    <w:rsid w:val="36E90A53"/>
    <w:rsid w:val="3BFA7F8A"/>
    <w:rsid w:val="420E08C8"/>
    <w:rsid w:val="44C147BC"/>
    <w:rsid w:val="49E112DE"/>
    <w:rsid w:val="4CD30654"/>
    <w:rsid w:val="4CF02CFF"/>
    <w:rsid w:val="5A22044E"/>
    <w:rsid w:val="604D4BB9"/>
    <w:rsid w:val="61340190"/>
    <w:rsid w:val="61FE0213"/>
    <w:rsid w:val="667C110D"/>
    <w:rsid w:val="6CE46E08"/>
    <w:rsid w:val="6D9935FF"/>
    <w:rsid w:val="7D40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A2923"/>
  <w15:docId w15:val="{8E924CE4-62AD-47BD-B623-08A38EF5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widowControl/>
      <w:spacing w:line="240" w:lineRule="atLeast"/>
      <w:jc w:val="left"/>
      <w:outlineLvl w:val="1"/>
    </w:pPr>
    <w:rPr>
      <w:rFonts w:ascii="Arial Black" w:eastAsia="Times New Roman" w:hAnsi="Arial Black"/>
      <w:spacing w:val="-10"/>
      <w:kern w:val="28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uiPriority w:val="99"/>
    <w:semiHidden/>
    <w:unhideWhenUsed/>
    <w:pPr>
      <w:spacing w:after="12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 Black" w:eastAsia="Times New Roman" w:hAnsi="Arial Black" w:cs="Times New Roman"/>
      <w:spacing w:val="-10"/>
      <w:kern w:val="28"/>
      <w:sz w:val="16"/>
      <w:szCs w:val="20"/>
    </w:rPr>
  </w:style>
  <w:style w:type="character" w:customStyle="1" w:styleId="a5">
    <w:name w:val="正文文本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57747543461801E-2"/>
          <c:y val="5.0925925925925902E-2"/>
          <c:w val="0.71282089738782695"/>
          <c:h val="0.82941382327209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Sheet1!$B$41</c:f>
              <c:strCache>
                <c:ptCount val="1"/>
                <c:pt idx="0">
                  <c:v>昼间达标率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3.0555555555555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AD-412C-9601-7336EA9B53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Sheet1!$A$42:$A$45</c:f>
              <c:strCache>
                <c:ptCount val="3"/>
                <c:pt idx="0">
                  <c:v>市区</c:v>
                </c:pt>
                <c:pt idx="1">
                  <c:v>江阴</c:v>
                </c:pt>
                <c:pt idx="2">
                  <c:v>宜兴</c:v>
                </c:pt>
              </c:strCache>
            </c:strRef>
          </c:cat>
          <c:val>
            <c:numRef>
              <c:f>Sheet1!$B$42:$B$45</c:f>
              <c:numCache>
                <c:formatCode>0.0%</c:formatCode>
                <c:ptCount val="3"/>
                <c:pt idx="0">
                  <c:v>0.90600000000000003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AD-412C-9601-7336EA9B5349}"/>
            </c:ext>
          </c:extLst>
        </c:ser>
        <c:ser>
          <c:idx val="1"/>
          <c:order val="1"/>
          <c:tx>
            <c:strRef>
              <c:f>Sheet1!$C$41</c:f>
              <c:strCache>
                <c:ptCount val="1"/>
                <c:pt idx="0">
                  <c:v>夜间达标率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Sheet1!$A$42:$A$45</c:f>
              <c:strCache>
                <c:ptCount val="3"/>
                <c:pt idx="0">
                  <c:v>市区</c:v>
                </c:pt>
                <c:pt idx="1">
                  <c:v>江阴</c:v>
                </c:pt>
                <c:pt idx="2">
                  <c:v>宜兴</c:v>
                </c:pt>
              </c:strCache>
            </c:strRef>
          </c:cat>
          <c:val>
            <c:numRef>
              <c:f>Sheet1!$C$42:$C$45</c:f>
              <c:numCache>
                <c:formatCode>0.0%</c:formatCode>
                <c:ptCount val="3"/>
                <c:pt idx="0">
                  <c:v>0.879</c:v>
                </c:pt>
                <c:pt idx="1">
                  <c:v>0.9375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AD-412C-9601-7336EA9B5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058432"/>
        <c:axId val="185770368"/>
      </c:barChart>
      <c:catAx>
        <c:axId val="121058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85770368"/>
        <c:crosses val="autoZero"/>
        <c:auto val="1"/>
        <c:lblAlgn val="ctr"/>
        <c:lblOffset val="100"/>
        <c:noMultiLvlLbl val="0"/>
      </c:catAx>
      <c:valAx>
        <c:axId val="18577036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2105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532384646317899"/>
          <c:y val="0.95599670684596105"/>
          <c:w val="0.28935230707364201"/>
          <c:h val="3.255831626944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ff63d3-8dba-40f8-8bbb-6dd50e159c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8C7A-9891-4994-9735-1A9A99C9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1116</Characters>
  <Application>Microsoft Office Word</Application>
  <DocSecurity>0</DocSecurity>
  <Lines>9</Lines>
  <Paragraphs>2</Paragraphs>
  <ScaleCrop>false</ScaleCrop>
  <Company>dell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ASUS</cp:lastModifiedBy>
  <cp:revision>2</cp:revision>
  <dcterms:created xsi:type="dcterms:W3CDTF">2025-07-07T02:00:00Z</dcterms:created>
  <dcterms:modified xsi:type="dcterms:W3CDTF">2025-07-07T02:00:00Z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6DC406A74223441E9A604CEB47DDCAFF_13</vt:lpwstr>
  </property>
  <property fmtid="{D5CDD505-2E9C-101B-9397-08002B2CF9AE}" pid="4" name="KSOTemplateDocerSaveRecord">
    <vt:lpwstr>eyJoZGlkIjoiNDljNDE2ZmJhMjhmNjY5N2U1OGQ0MDIyNjgwMDRlM2MiLCJ1c2VySWQiOiIxNTc3NjM3OTk5In0=</vt:lpwstr>
  </property>
</Properties>
</file>