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09900">
      <w:pPr>
        <w:spacing w:line="880" w:lineRule="exact"/>
        <w:jc w:val="center"/>
        <w:rPr>
          <w:rFonts w:hint="eastAsia" w:ascii="宋体" w:hAnsi="宋体" w:cs="宋体"/>
          <w:b/>
          <w:bCs/>
          <w:spacing w:val="-12"/>
          <w:sz w:val="52"/>
          <w:szCs w:val="52"/>
        </w:rPr>
      </w:pPr>
    </w:p>
    <w:p w14:paraId="5BBB6DCC"/>
    <w:p w14:paraId="027C16EA">
      <w:pPr>
        <w:jc w:val="center"/>
        <w:rPr>
          <w:rFonts w:hint="eastAsia" w:ascii="方正小标宋简体" w:hAnsi="方正仿宋_GBK" w:eastAsia="方正小标宋简体" w:cs="方正仿宋_GBK"/>
          <w:sz w:val="84"/>
          <w:szCs w:val="84"/>
        </w:rPr>
      </w:pPr>
    </w:p>
    <w:p w14:paraId="5B2E0DC8">
      <w:pPr>
        <w:jc w:val="center"/>
        <w:rPr>
          <w:rFonts w:hint="eastAsia" w:ascii="方正小标宋简体" w:hAnsi="方正仿宋_GBK" w:eastAsia="方正小标宋简体" w:cs="方正仿宋_GBK"/>
          <w:sz w:val="84"/>
          <w:szCs w:val="84"/>
        </w:rPr>
      </w:pPr>
      <w:r>
        <w:rPr>
          <w:rFonts w:hint="eastAsia" w:ascii="方正小标宋简体" w:hAnsi="方正仿宋_GBK" w:eastAsia="方正小标宋简体" w:cs="方正仿宋_GBK"/>
          <w:sz w:val="84"/>
          <w:szCs w:val="84"/>
        </w:rPr>
        <w:t>竞争性谈判采购文件</w:t>
      </w:r>
    </w:p>
    <w:p w14:paraId="3E05D6D6">
      <w:pPr>
        <w:jc w:val="center"/>
        <w:rPr>
          <w:rFonts w:hint="eastAsia" w:ascii="宋体" w:hAnsi="宋体"/>
          <w:b/>
          <w:sz w:val="28"/>
          <w:u w:val="single"/>
        </w:rPr>
      </w:pPr>
    </w:p>
    <w:p w14:paraId="2FD42555">
      <w:pPr>
        <w:jc w:val="center"/>
        <w:rPr>
          <w:rFonts w:hint="eastAsia" w:ascii="宋体" w:hAnsi="宋体"/>
          <w:sz w:val="32"/>
        </w:rPr>
      </w:pPr>
    </w:p>
    <w:p w14:paraId="1293024D">
      <w:pPr>
        <w:jc w:val="center"/>
        <w:rPr>
          <w:rFonts w:hint="eastAsia" w:ascii="宋体" w:hAnsi="宋体"/>
          <w:sz w:val="32"/>
        </w:rPr>
      </w:pPr>
    </w:p>
    <w:p w14:paraId="3DB65787">
      <w:pPr>
        <w:jc w:val="center"/>
        <w:rPr>
          <w:rFonts w:hint="eastAsia" w:ascii="宋体" w:hAnsi="宋体"/>
          <w:sz w:val="32"/>
        </w:rPr>
      </w:pPr>
    </w:p>
    <w:p w14:paraId="18429589">
      <w:pPr>
        <w:jc w:val="center"/>
        <w:rPr>
          <w:rFonts w:hint="eastAsia" w:ascii="宋体" w:hAnsi="宋体"/>
          <w:sz w:val="32"/>
        </w:rPr>
      </w:pPr>
    </w:p>
    <w:p w14:paraId="61FF8E80">
      <w:pPr>
        <w:jc w:val="center"/>
        <w:rPr>
          <w:rFonts w:hint="eastAsia" w:ascii="宋体" w:hAnsi="宋体"/>
          <w:sz w:val="32"/>
        </w:rPr>
      </w:pPr>
    </w:p>
    <w:p w14:paraId="1B78A12C">
      <w:pPr>
        <w:jc w:val="center"/>
        <w:rPr>
          <w:rFonts w:hint="eastAsia" w:ascii="宋体" w:hAnsi="宋体"/>
          <w:sz w:val="32"/>
        </w:rPr>
      </w:pPr>
    </w:p>
    <w:p w14:paraId="60B7DEF7">
      <w:pPr>
        <w:jc w:val="center"/>
        <w:rPr>
          <w:rFonts w:hint="eastAsia" w:ascii="宋体" w:hAnsi="宋体"/>
          <w:sz w:val="32"/>
        </w:rPr>
      </w:pPr>
    </w:p>
    <w:p w14:paraId="04A9C2CC">
      <w:pPr>
        <w:snapToGrid w:val="0"/>
        <w:spacing w:line="480" w:lineRule="auto"/>
        <w:ind w:left="1824" w:leftChars="202" w:hanging="1400" w:hangingChars="500"/>
        <w:jc w:val="left"/>
        <w:rPr>
          <w:rFonts w:hint="eastAsia" w:ascii="宋体" w:hAnsi="宋体" w:cs="宋体"/>
          <w:bCs/>
          <w:sz w:val="28"/>
          <w:szCs w:val="28"/>
          <w:u w:val="single"/>
        </w:rPr>
      </w:pPr>
      <w:r>
        <w:rPr>
          <w:rFonts w:hint="eastAsia" w:ascii="宋体" w:hAnsi="宋体" w:cs="宋体"/>
          <w:bCs/>
          <w:sz w:val="28"/>
          <w:szCs w:val="28"/>
        </w:rPr>
        <w:t>项目名称：</w:t>
      </w:r>
      <w:bookmarkStart w:id="0" w:name="_Hlk181456369"/>
      <w:r>
        <w:rPr>
          <w:rFonts w:hint="eastAsia" w:ascii="宋体" w:hAnsi="宋体" w:cs="宋体"/>
          <w:bCs/>
          <w:sz w:val="28"/>
          <w:szCs w:val="28"/>
          <w:u w:val="single"/>
        </w:rPr>
        <w:t xml:space="preserve">2025年度无锡市集中式饮用水水源地环境状况调查评估 </w:t>
      </w:r>
      <w:bookmarkEnd w:id="0"/>
      <w:r>
        <w:rPr>
          <w:rFonts w:hint="eastAsia" w:ascii="宋体" w:hAnsi="宋体" w:cs="宋体"/>
          <w:bCs/>
          <w:sz w:val="28"/>
          <w:szCs w:val="28"/>
          <w:u w:val="single"/>
        </w:rPr>
        <w:t xml:space="preserve"> </w:t>
      </w:r>
    </w:p>
    <w:p w14:paraId="6E1D9C9A">
      <w:pPr>
        <w:snapToGrid w:val="0"/>
        <w:spacing w:line="480" w:lineRule="auto"/>
        <w:ind w:left="424" w:leftChars="202"/>
        <w:jc w:val="left"/>
        <w:rPr>
          <w:sz w:val="28"/>
          <w:szCs w:val="28"/>
        </w:rPr>
      </w:pPr>
      <w:r>
        <w:rPr>
          <w:rFonts w:hint="eastAsia" w:ascii="宋体" w:hAnsi="宋体" w:cs="宋体"/>
          <w:bCs/>
          <w:sz w:val="28"/>
          <w:szCs w:val="28"/>
        </w:rPr>
        <w:t>采 购 人:</w:t>
      </w:r>
      <w:r>
        <w:rPr>
          <w:rFonts w:hint="eastAsia" w:ascii="宋体" w:hAnsi="宋体" w:cs="宋体"/>
          <w:bCs/>
          <w:sz w:val="28"/>
          <w:szCs w:val="28"/>
          <w:u w:val="single"/>
        </w:rPr>
        <w:t xml:space="preserve">  无锡市生态环境局  </w:t>
      </w:r>
    </w:p>
    <w:p w14:paraId="6FBF5132">
      <w:pPr>
        <w:snapToGrid w:val="0"/>
        <w:spacing w:line="360" w:lineRule="auto"/>
        <w:ind w:left="424" w:leftChars="202"/>
        <w:jc w:val="left"/>
        <w:rPr>
          <w:sz w:val="32"/>
          <w:szCs w:val="32"/>
        </w:rPr>
      </w:pPr>
      <w:r>
        <w:rPr>
          <w:rFonts w:hint="eastAsia" w:ascii="宋体" w:hAnsi="宋体" w:cs="宋体"/>
          <w:bCs/>
          <w:sz w:val="28"/>
          <w:szCs w:val="28"/>
        </w:rPr>
        <w:t>日    期：</w:t>
      </w:r>
      <w:bookmarkStart w:id="1" w:name="_Toc16248769"/>
      <w:bookmarkStart w:id="2" w:name="_Toc16164339"/>
      <w:r>
        <w:rPr>
          <w:rFonts w:hint="eastAsia" w:ascii="宋体" w:hAnsi="宋体" w:cs="宋体"/>
          <w:bCs/>
          <w:sz w:val="28"/>
          <w:szCs w:val="28"/>
          <w:u w:val="single"/>
        </w:rPr>
        <w:t xml:space="preserve">  2025年4月                               </w:t>
      </w:r>
    </w:p>
    <w:p w14:paraId="1E7068D3">
      <w:pPr>
        <w:snapToGrid w:val="0"/>
        <w:spacing w:line="360" w:lineRule="auto"/>
        <w:ind w:left="424" w:leftChars="202"/>
        <w:jc w:val="left"/>
        <w:rPr>
          <w:sz w:val="28"/>
          <w:szCs w:val="28"/>
        </w:rPr>
      </w:pPr>
    </w:p>
    <w:p w14:paraId="3528C2C1">
      <w:pPr>
        <w:snapToGrid w:val="0"/>
        <w:spacing w:line="360" w:lineRule="auto"/>
        <w:ind w:left="424" w:leftChars="202"/>
        <w:jc w:val="left"/>
        <w:rPr>
          <w:sz w:val="28"/>
          <w:szCs w:val="28"/>
        </w:rPr>
      </w:pPr>
    </w:p>
    <w:p w14:paraId="103007DC">
      <w:pPr>
        <w:snapToGrid w:val="0"/>
        <w:spacing w:line="360" w:lineRule="auto"/>
        <w:ind w:left="424" w:leftChars="202"/>
        <w:jc w:val="left"/>
        <w:rPr>
          <w:sz w:val="28"/>
          <w:szCs w:val="28"/>
        </w:rPr>
      </w:pPr>
    </w:p>
    <w:p w14:paraId="504BC314">
      <w:pPr>
        <w:snapToGrid w:val="0"/>
        <w:spacing w:line="360" w:lineRule="auto"/>
        <w:ind w:left="424" w:leftChars="202"/>
        <w:jc w:val="left"/>
        <w:rPr>
          <w:sz w:val="28"/>
          <w:szCs w:val="28"/>
        </w:rPr>
      </w:pPr>
    </w:p>
    <w:p w14:paraId="7DC955C9">
      <w:pPr>
        <w:snapToGrid w:val="0"/>
        <w:spacing w:line="360" w:lineRule="auto"/>
        <w:ind w:left="424" w:leftChars="202"/>
        <w:jc w:val="left"/>
        <w:rPr>
          <w:sz w:val="28"/>
          <w:szCs w:val="28"/>
        </w:rPr>
      </w:pPr>
    </w:p>
    <w:p w14:paraId="321A2B6E">
      <w:pPr>
        <w:snapToGrid w:val="0"/>
        <w:spacing w:line="360" w:lineRule="auto"/>
        <w:ind w:left="424" w:leftChars="202"/>
        <w:jc w:val="left"/>
        <w:rPr>
          <w:sz w:val="28"/>
          <w:szCs w:val="28"/>
        </w:rPr>
      </w:pPr>
    </w:p>
    <w:p w14:paraId="335D3535">
      <w:pPr>
        <w:pStyle w:val="3"/>
      </w:pPr>
      <w:r>
        <w:rPr>
          <w:rFonts w:hint="eastAsia"/>
        </w:rPr>
        <w:t>第一章  报价邀请函</w:t>
      </w:r>
      <w:bookmarkEnd w:id="1"/>
      <w:bookmarkEnd w:id="2"/>
    </w:p>
    <w:p w14:paraId="0E4C806D">
      <w:pPr>
        <w:pStyle w:val="35"/>
        <w:jc w:val="left"/>
        <w:rPr>
          <w:rFonts w:hint="eastAsia" w:ascii="宋体" w:hAnsi="宋体" w:cs="宋体"/>
        </w:rPr>
      </w:pPr>
    </w:p>
    <w:tbl>
      <w:tblPr>
        <w:tblStyle w:val="23"/>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500"/>
      </w:tblGrid>
      <w:tr w14:paraId="028D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773E3D2D">
            <w:pPr>
              <w:spacing w:line="480" w:lineRule="exact"/>
              <w:jc w:val="center"/>
              <w:rPr>
                <w:rFonts w:hint="eastAsia" w:ascii="宋体" w:hAnsi="宋体" w:cs="宋体"/>
                <w:sz w:val="24"/>
              </w:rPr>
            </w:pPr>
            <w:r>
              <w:rPr>
                <w:rFonts w:hint="eastAsia" w:ascii="宋体" w:hAnsi="宋体" w:cs="宋体"/>
                <w:sz w:val="24"/>
              </w:rPr>
              <w:t>序号</w:t>
            </w:r>
          </w:p>
        </w:tc>
        <w:tc>
          <w:tcPr>
            <w:tcW w:w="7500" w:type="dxa"/>
            <w:vAlign w:val="center"/>
          </w:tcPr>
          <w:p w14:paraId="0BA07D31">
            <w:pPr>
              <w:spacing w:line="480" w:lineRule="exact"/>
              <w:jc w:val="center"/>
              <w:rPr>
                <w:rFonts w:hint="eastAsia" w:ascii="宋体" w:hAnsi="宋体" w:cs="宋体"/>
                <w:sz w:val="24"/>
              </w:rPr>
            </w:pPr>
            <w:r>
              <w:rPr>
                <w:rFonts w:hint="eastAsia" w:ascii="宋体" w:hAnsi="宋体" w:cs="宋体"/>
                <w:sz w:val="24"/>
              </w:rPr>
              <w:t>内容</w:t>
            </w:r>
          </w:p>
        </w:tc>
      </w:tr>
      <w:tr w14:paraId="454A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2" w:type="dxa"/>
            <w:vAlign w:val="center"/>
          </w:tcPr>
          <w:p w14:paraId="61C31748">
            <w:pPr>
              <w:spacing w:line="480" w:lineRule="exact"/>
              <w:jc w:val="center"/>
              <w:rPr>
                <w:rFonts w:ascii="宋体"/>
                <w:bCs/>
                <w:color w:val="000000"/>
                <w:sz w:val="24"/>
              </w:rPr>
            </w:pPr>
            <w:r>
              <w:rPr>
                <w:rFonts w:ascii="宋体" w:hAnsi="宋体"/>
                <w:bCs/>
                <w:color w:val="000000"/>
                <w:sz w:val="24"/>
              </w:rPr>
              <w:t>1</w:t>
            </w:r>
          </w:p>
        </w:tc>
        <w:tc>
          <w:tcPr>
            <w:tcW w:w="7500" w:type="dxa"/>
          </w:tcPr>
          <w:p w14:paraId="68CC47B9">
            <w:pPr>
              <w:spacing w:line="480" w:lineRule="exact"/>
              <w:rPr>
                <w:rFonts w:hint="eastAsia" w:ascii="宋体" w:hAnsi="宋体" w:cs="宋体"/>
                <w:bCs/>
                <w:sz w:val="28"/>
                <w:szCs w:val="28"/>
                <w:u w:val="single"/>
              </w:rPr>
            </w:pPr>
            <w:r>
              <w:rPr>
                <w:rFonts w:hint="eastAsia" w:ascii="宋体" w:hAnsi="宋体" w:cs="宋体"/>
                <w:sz w:val="24"/>
              </w:rPr>
              <w:t>项目名称：</w:t>
            </w:r>
            <w:r>
              <w:rPr>
                <w:rFonts w:hint="eastAsia" w:ascii="宋体" w:hAnsi="宋体" w:cs="宋体"/>
                <w:bCs/>
                <w:sz w:val="24"/>
                <w:u w:val="single"/>
              </w:rPr>
              <w:t>2025年度无锡市集中式饮用水水源地环境状况调查评估</w:t>
            </w:r>
          </w:p>
          <w:p w14:paraId="43644A4A">
            <w:pPr>
              <w:spacing w:line="480" w:lineRule="exact"/>
              <w:rPr>
                <w:rFonts w:hint="eastAsia" w:ascii="宋体" w:hAnsi="宋体" w:cs="宋体"/>
                <w:sz w:val="24"/>
              </w:rPr>
            </w:pPr>
            <w:r>
              <w:rPr>
                <w:rFonts w:hint="eastAsia" w:ascii="宋体" w:hAnsi="宋体" w:cs="宋体"/>
                <w:sz w:val="24"/>
              </w:rPr>
              <w:t>采购人：无锡市生态环境局</w:t>
            </w:r>
          </w:p>
          <w:p w14:paraId="1DE2A6CC">
            <w:pPr>
              <w:spacing w:line="480" w:lineRule="exact"/>
              <w:rPr>
                <w:rFonts w:hint="eastAsia" w:ascii="宋体" w:hAnsi="宋体" w:cs="宋体"/>
                <w:sz w:val="24"/>
              </w:rPr>
            </w:pPr>
            <w:r>
              <w:rPr>
                <w:rFonts w:ascii="宋体" w:hAnsi="宋体" w:cs="宋体"/>
                <w:sz w:val="24"/>
              </w:rPr>
              <w:t>采购方式</w:t>
            </w:r>
            <w:r>
              <w:rPr>
                <w:rFonts w:hint="eastAsia" w:ascii="宋体" w:hAnsi="宋体" w:cs="宋体"/>
                <w:sz w:val="24"/>
              </w:rPr>
              <w:t>：</w:t>
            </w:r>
            <w:r>
              <w:rPr>
                <w:rFonts w:ascii="宋体" w:hAnsi="宋体" w:cs="宋体"/>
                <w:sz w:val="24"/>
              </w:rPr>
              <w:t>竞争性谈判</w:t>
            </w:r>
          </w:p>
          <w:p w14:paraId="6877145D">
            <w:pPr>
              <w:spacing w:line="480" w:lineRule="exact"/>
              <w:rPr>
                <w:rFonts w:hint="eastAsia" w:ascii="宋体" w:hAnsi="宋体" w:cs="宋体"/>
                <w:sz w:val="24"/>
              </w:rPr>
            </w:pPr>
            <w:r>
              <w:rPr>
                <w:rFonts w:hint="eastAsia" w:ascii="宋体" w:hAnsi="宋体" w:cs="宋体"/>
                <w:sz w:val="24"/>
              </w:rPr>
              <w:t>项目预算：9.84</w:t>
            </w:r>
            <w:r>
              <w:rPr>
                <w:rFonts w:ascii="宋体" w:hAnsi="宋体" w:cs="宋体"/>
                <w:sz w:val="24"/>
              </w:rPr>
              <w:t>万元</w:t>
            </w:r>
          </w:p>
        </w:tc>
      </w:tr>
      <w:tr w14:paraId="7ADD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dxa"/>
            <w:vAlign w:val="center"/>
          </w:tcPr>
          <w:p w14:paraId="1E9C5933">
            <w:pPr>
              <w:spacing w:line="480" w:lineRule="exact"/>
              <w:jc w:val="center"/>
              <w:rPr>
                <w:rFonts w:hint="eastAsia" w:ascii="宋体" w:hAnsi="宋体"/>
                <w:bCs/>
                <w:color w:val="000000"/>
                <w:sz w:val="24"/>
              </w:rPr>
            </w:pPr>
            <w:r>
              <w:rPr>
                <w:rFonts w:hint="eastAsia" w:ascii="宋体" w:hAnsi="宋体"/>
                <w:bCs/>
                <w:color w:val="000000"/>
                <w:sz w:val="24"/>
              </w:rPr>
              <w:t>2</w:t>
            </w:r>
          </w:p>
        </w:tc>
        <w:tc>
          <w:tcPr>
            <w:tcW w:w="7500" w:type="dxa"/>
          </w:tcPr>
          <w:p w14:paraId="07744338">
            <w:pPr>
              <w:spacing w:line="480" w:lineRule="exact"/>
              <w:ind w:firstLine="480" w:firstLineChars="200"/>
              <w:rPr>
                <w:rFonts w:hint="eastAsia" w:ascii="宋体" w:hAnsi="宋体" w:cs="宋体"/>
                <w:sz w:val="24"/>
              </w:rPr>
            </w:pPr>
            <w:r>
              <w:rPr>
                <w:rFonts w:hint="eastAsia" w:ascii="宋体" w:hAnsi="宋体" w:cs="宋体"/>
                <w:sz w:val="24"/>
              </w:rPr>
              <w:t>项目概况：根据生态环境部《关于开展全国城市集中式饮用水水源环境状况评估工作的通知》（环办〔2011〕4号），《集中式饮用水水源地规范化建设环境保护技术要求》（HJ 773-2015）“9.3 定期开展饮用水水源地环境状况评估”，省生态环境厅《关于做好我省集中式饮用水水源地规范化建设工作的通知》（苏环办〔2024〕209号），开展无锡市集中式饮用水水源地环境状况调查评估工作。</w:t>
            </w:r>
          </w:p>
          <w:p w14:paraId="75E0A4CF">
            <w:pPr>
              <w:spacing w:line="480" w:lineRule="exact"/>
              <w:ind w:firstLine="480" w:firstLineChars="200"/>
              <w:rPr>
                <w:rFonts w:hint="eastAsia" w:ascii="宋体" w:hAnsi="宋体" w:cs="宋体"/>
                <w:sz w:val="24"/>
              </w:rPr>
            </w:pPr>
            <w:r>
              <w:rPr>
                <w:rFonts w:hint="eastAsia" w:ascii="宋体" w:hAnsi="宋体" w:cs="宋体"/>
                <w:sz w:val="24"/>
              </w:rPr>
              <w:t>项目完成截止日期：2025年12月3</w:t>
            </w:r>
            <w:r>
              <w:rPr>
                <w:rFonts w:ascii="宋体" w:hAnsi="宋体" w:cs="宋体"/>
                <w:sz w:val="24"/>
              </w:rPr>
              <w:t>1</w:t>
            </w:r>
            <w:r>
              <w:rPr>
                <w:rFonts w:hint="eastAsia" w:ascii="宋体" w:hAnsi="宋体" w:cs="宋体"/>
                <w:sz w:val="24"/>
              </w:rPr>
              <w:t>日前。</w:t>
            </w:r>
          </w:p>
        </w:tc>
      </w:tr>
      <w:tr w14:paraId="7DF7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dxa"/>
            <w:vAlign w:val="center"/>
          </w:tcPr>
          <w:p w14:paraId="4A9A68B1">
            <w:pPr>
              <w:spacing w:line="480" w:lineRule="exact"/>
              <w:jc w:val="center"/>
              <w:rPr>
                <w:rFonts w:ascii="宋体"/>
                <w:bCs/>
                <w:color w:val="000000"/>
                <w:sz w:val="24"/>
              </w:rPr>
            </w:pPr>
            <w:r>
              <w:rPr>
                <w:rFonts w:hint="eastAsia" w:ascii="宋体" w:hAnsi="宋体"/>
                <w:bCs/>
                <w:color w:val="000000"/>
                <w:sz w:val="24"/>
              </w:rPr>
              <w:t>3</w:t>
            </w:r>
          </w:p>
        </w:tc>
        <w:tc>
          <w:tcPr>
            <w:tcW w:w="7500" w:type="dxa"/>
          </w:tcPr>
          <w:p w14:paraId="1766E096">
            <w:pPr>
              <w:spacing w:line="480" w:lineRule="exact"/>
              <w:ind w:firstLine="480" w:firstLineChars="200"/>
              <w:rPr>
                <w:rFonts w:hint="eastAsia" w:ascii="宋体" w:hAnsi="宋体" w:cs="宋体"/>
                <w:sz w:val="24"/>
              </w:rPr>
            </w:pPr>
            <w:r>
              <w:rPr>
                <w:rFonts w:hint="eastAsia" w:ascii="宋体" w:hAnsi="宋体" w:cs="宋体"/>
                <w:sz w:val="24"/>
              </w:rPr>
              <w:t>响应文件接收时间：2024年4月15日（周二）</w:t>
            </w: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0前，截止期后的响应文件恕不接受</w:t>
            </w:r>
          </w:p>
          <w:p w14:paraId="082471DC">
            <w:pPr>
              <w:spacing w:line="480" w:lineRule="exact"/>
              <w:ind w:firstLine="480" w:firstLineChars="200"/>
              <w:rPr>
                <w:rFonts w:hint="eastAsia" w:ascii="宋体" w:hAnsi="宋体" w:cs="宋体"/>
                <w:sz w:val="24"/>
              </w:rPr>
            </w:pPr>
            <w:r>
              <w:rPr>
                <w:rFonts w:hint="eastAsia" w:ascii="宋体" w:hAnsi="宋体" w:cs="宋体"/>
                <w:sz w:val="24"/>
              </w:rPr>
              <w:t>响应文件接收地点：无锡市经开区观山路199号市民中心11楼321会议室</w:t>
            </w:r>
          </w:p>
          <w:p w14:paraId="7FA09496">
            <w:pPr>
              <w:spacing w:line="480" w:lineRule="exact"/>
              <w:ind w:firstLine="480" w:firstLineChars="200"/>
              <w:rPr>
                <w:rFonts w:hint="eastAsia" w:ascii="宋体" w:hAnsi="宋体" w:cs="宋体"/>
                <w:sz w:val="24"/>
              </w:rPr>
            </w:pPr>
            <w:r>
              <w:rPr>
                <w:rFonts w:hint="eastAsia" w:ascii="宋体" w:hAnsi="宋体" w:cs="宋体"/>
                <w:sz w:val="24"/>
              </w:rPr>
              <w:t>报价有效期：响应文件接收之日起60日</w:t>
            </w:r>
          </w:p>
        </w:tc>
      </w:tr>
      <w:tr w14:paraId="4B19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5A5A6F4F">
            <w:pPr>
              <w:spacing w:line="480" w:lineRule="exact"/>
              <w:jc w:val="center"/>
              <w:rPr>
                <w:rFonts w:ascii="宋体"/>
                <w:bCs/>
                <w:color w:val="000000"/>
                <w:sz w:val="24"/>
              </w:rPr>
            </w:pPr>
            <w:r>
              <w:rPr>
                <w:rFonts w:hint="eastAsia" w:ascii="宋体" w:hAnsi="宋体"/>
                <w:bCs/>
                <w:color w:val="000000"/>
                <w:sz w:val="24"/>
              </w:rPr>
              <w:t>4</w:t>
            </w:r>
          </w:p>
        </w:tc>
        <w:tc>
          <w:tcPr>
            <w:tcW w:w="7500" w:type="dxa"/>
          </w:tcPr>
          <w:p w14:paraId="14308199">
            <w:pPr>
              <w:spacing w:line="480" w:lineRule="exact"/>
              <w:ind w:firstLine="480" w:firstLineChars="200"/>
              <w:rPr>
                <w:rFonts w:hint="eastAsia" w:ascii="宋体" w:hAnsi="宋体" w:cs="宋体"/>
                <w:sz w:val="24"/>
              </w:rPr>
            </w:pPr>
            <w:r>
              <w:rPr>
                <w:rFonts w:hint="eastAsia" w:ascii="宋体" w:hAnsi="宋体" w:cs="宋体"/>
                <w:sz w:val="24"/>
              </w:rPr>
              <w:t>评审（谈判）时间：2025年4月15日（周二）</w:t>
            </w: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0</w:t>
            </w:r>
          </w:p>
          <w:p w14:paraId="61997A96">
            <w:pPr>
              <w:spacing w:line="480" w:lineRule="exact"/>
              <w:ind w:firstLine="480" w:firstLineChars="200"/>
              <w:rPr>
                <w:rFonts w:hint="eastAsia" w:ascii="宋体" w:hAnsi="宋体" w:cs="宋体"/>
                <w:sz w:val="24"/>
              </w:rPr>
            </w:pPr>
            <w:r>
              <w:rPr>
                <w:rFonts w:hint="eastAsia" w:ascii="宋体" w:hAnsi="宋体" w:cs="宋体"/>
                <w:sz w:val="24"/>
              </w:rPr>
              <w:t>评审地点：无锡市经开区观山路199号市民中心11楼321会议室</w:t>
            </w:r>
          </w:p>
        </w:tc>
      </w:tr>
      <w:tr w14:paraId="4815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18452D8D">
            <w:pPr>
              <w:spacing w:line="480" w:lineRule="exact"/>
              <w:jc w:val="center"/>
              <w:rPr>
                <w:rFonts w:ascii="宋体"/>
                <w:bCs/>
                <w:color w:val="000000"/>
                <w:sz w:val="24"/>
              </w:rPr>
            </w:pPr>
            <w:r>
              <w:rPr>
                <w:rFonts w:hint="eastAsia" w:ascii="宋体" w:hAnsi="宋体"/>
                <w:bCs/>
                <w:color w:val="000000"/>
                <w:sz w:val="24"/>
              </w:rPr>
              <w:t>5</w:t>
            </w:r>
          </w:p>
        </w:tc>
        <w:tc>
          <w:tcPr>
            <w:tcW w:w="7500" w:type="dxa"/>
          </w:tcPr>
          <w:p w14:paraId="70530398">
            <w:pPr>
              <w:spacing w:line="480" w:lineRule="exact"/>
              <w:ind w:firstLine="480" w:firstLineChars="200"/>
              <w:rPr>
                <w:rFonts w:hint="eastAsia" w:ascii="宋体" w:hAnsi="宋体" w:cs="宋体"/>
                <w:sz w:val="24"/>
              </w:rPr>
            </w:pPr>
            <w:r>
              <w:rPr>
                <w:rFonts w:hint="eastAsia" w:ascii="宋体" w:hAnsi="宋体" w:cs="宋体"/>
                <w:sz w:val="24"/>
              </w:rPr>
              <w:t>确定成交单位时间：2025年4月15日（周二）评审（谈判）结束</w:t>
            </w:r>
          </w:p>
          <w:p w14:paraId="5FF64EAC">
            <w:pPr>
              <w:spacing w:line="480" w:lineRule="exact"/>
              <w:ind w:firstLine="480" w:firstLineChars="200"/>
              <w:rPr>
                <w:rFonts w:hint="eastAsia" w:ascii="宋体" w:hAnsi="宋体" w:cs="宋体"/>
                <w:sz w:val="24"/>
              </w:rPr>
            </w:pPr>
            <w:r>
              <w:rPr>
                <w:rFonts w:hint="eastAsia" w:ascii="宋体" w:hAnsi="宋体" w:cs="宋体"/>
                <w:sz w:val="24"/>
              </w:rPr>
              <w:t>确定成交单位地点：无锡市经开区观山路199号市民中心11楼321会议室</w:t>
            </w:r>
          </w:p>
        </w:tc>
      </w:tr>
      <w:tr w14:paraId="21E8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383FAD7E">
            <w:pPr>
              <w:spacing w:line="480" w:lineRule="exact"/>
              <w:jc w:val="center"/>
              <w:rPr>
                <w:rFonts w:ascii="宋体"/>
                <w:bCs/>
                <w:color w:val="000000"/>
                <w:sz w:val="24"/>
              </w:rPr>
            </w:pPr>
            <w:r>
              <w:rPr>
                <w:rFonts w:hint="eastAsia" w:ascii="宋体" w:hAnsi="宋体"/>
                <w:bCs/>
                <w:color w:val="000000"/>
                <w:sz w:val="24"/>
              </w:rPr>
              <w:t>6</w:t>
            </w:r>
          </w:p>
        </w:tc>
        <w:tc>
          <w:tcPr>
            <w:tcW w:w="7500" w:type="dxa"/>
          </w:tcPr>
          <w:p w14:paraId="1A46AAB6">
            <w:pPr>
              <w:spacing w:line="480" w:lineRule="exact"/>
              <w:ind w:firstLine="480" w:firstLineChars="200"/>
              <w:rPr>
                <w:rFonts w:hint="eastAsia" w:ascii="宋体" w:hAnsi="宋体" w:cs="宋体"/>
                <w:sz w:val="24"/>
              </w:rPr>
            </w:pPr>
            <w:r>
              <w:rPr>
                <w:rFonts w:hint="eastAsia" w:ascii="宋体" w:hAnsi="宋体" w:cs="宋体"/>
                <w:sz w:val="24"/>
              </w:rPr>
              <w:t>响应文件正本份数：1份</w:t>
            </w:r>
          </w:p>
          <w:p w14:paraId="338AC69A">
            <w:pPr>
              <w:spacing w:line="480" w:lineRule="exact"/>
              <w:ind w:firstLine="480" w:firstLineChars="200"/>
              <w:rPr>
                <w:rFonts w:hint="eastAsia" w:ascii="宋体" w:hAnsi="宋体" w:cs="宋体"/>
                <w:sz w:val="24"/>
              </w:rPr>
            </w:pPr>
            <w:r>
              <w:rPr>
                <w:rFonts w:hint="eastAsia" w:ascii="宋体" w:hAnsi="宋体" w:cs="宋体"/>
                <w:sz w:val="24"/>
              </w:rPr>
              <w:t>响应文件副本份数：3份</w:t>
            </w:r>
            <w:r>
              <w:rPr>
                <w:rFonts w:hint="eastAsia" w:ascii="宋体" w:hAnsi="宋体" w:cs="宋体"/>
                <w:sz w:val="24"/>
              </w:rPr>
              <w:tab/>
            </w:r>
          </w:p>
          <w:p w14:paraId="4A183D09">
            <w:pPr>
              <w:spacing w:line="480" w:lineRule="exact"/>
              <w:ind w:firstLine="480" w:firstLineChars="200"/>
              <w:rPr>
                <w:rFonts w:hint="eastAsia" w:ascii="宋体" w:hAnsi="宋体" w:cs="宋体"/>
                <w:sz w:val="24"/>
              </w:rPr>
            </w:pPr>
            <w:r>
              <w:rPr>
                <w:rFonts w:hint="eastAsia" w:ascii="宋体" w:hAnsi="宋体" w:cs="宋体"/>
                <w:sz w:val="24"/>
              </w:rPr>
              <w:t>备注：所有响应文件封袋的封口处应加盖供应商公章。</w:t>
            </w:r>
          </w:p>
        </w:tc>
      </w:tr>
      <w:tr w14:paraId="771F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12" w:type="dxa"/>
            <w:vAlign w:val="center"/>
          </w:tcPr>
          <w:p w14:paraId="0B0B41F1">
            <w:pPr>
              <w:spacing w:line="480" w:lineRule="exact"/>
              <w:jc w:val="center"/>
              <w:rPr>
                <w:rFonts w:ascii="宋体"/>
                <w:bCs/>
                <w:color w:val="000000"/>
                <w:sz w:val="24"/>
              </w:rPr>
            </w:pPr>
            <w:r>
              <w:rPr>
                <w:rFonts w:hint="eastAsia" w:ascii="宋体" w:hAnsi="宋体"/>
                <w:bCs/>
                <w:color w:val="000000"/>
                <w:sz w:val="24"/>
              </w:rPr>
              <w:t>7</w:t>
            </w:r>
          </w:p>
        </w:tc>
        <w:tc>
          <w:tcPr>
            <w:tcW w:w="7500" w:type="dxa"/>
          </w:tcPr>
          <w:p w14:paraId="1AFC6084">
            <w:pPr>
              <w:spacing w:line="480" w:lineRule="exact"/>
              <w:ind w:firstLine="480" w:firstLineChars="200"/>
              <w:rPr>
                <w:rFonts w:hint="eastAsia" w:ascii="宋体" w:hAnsi="宋体" w:cs="宋体"/>
                <w:sz w:val="24"/>
              </w:rPr>
            </w:pPr>
            <w:r>
              <w:rPr>
                <w:rFonts w:hint="eastAsia" w:ascii="宋体" w:hAnsi="宋体" w:cs="宋体"/>
                <w:sz w:val="24"/>
              </w:rPr>
              <w:t>对有关本次采购活动如有疑问，可来人、来函（传真）或电话联系。</w:t>
            </w:r>
          </w:p>
          <w:p w14:paraId="5D4B4C56">
            <w:pPr>
              <w:spacing w:line="480" w:lineRule="exact"/>
              <w:ind w:firstLine="480" w:firstLineChars="200"/>
              <w:rPr>
                <w:rFonts w:hint="eastAsia" w:ascii="宋体" w:hAnsi="宋体" w:cs="宋体"/>
                <w:sz w:val="24"/>
              </w:rPr>
            </w:pPr>
            <w:r>
              <w:rPr>
                <w:rFonts w:hint="eastAsia" w:ascii="宋体" w:hAnsi="宋体" w:cs="宋体"/>
                <w:sz w:val="24"/>
              </w:rPr>
              <w:t>联系地址：无锡市经开区观山路199号市民中心11楼323室</w:t>
            </w:r>
          </w:p>
          <w:p w14:paraId="1FA99FF7">
            <w:pPr>
              <w:spacing w:line="480" w:lineRule="exact"/>
              <w:ind w:firstLine="480" w:firstLineChars="200"/>
              <w:rPr>
                <w:rFonts w:hint="eastAsia" w:ascii="宋体" w:hAnsi="宋体" w:cs="宋体"/>
                <w:sz w:val="24"/>
              </w:rPr>
            </w:pPr>
            <w:r>
              <w:rPr>
                <w:rFonts w:hint="eastAsia" w:ascii="宋体" w:hAnsi="宋体" w:cs="宋体"/>
                <w:sz w:val="24"/>
              </w:rPr>
              <w:t>联系人：高倩           联系电话：0510-81827129</w:t>
            </w:r>
          </w:p>
        </w:tc>
      </w:tr>
    </w:tbl>
    <w:p w14:paraId="70D08C88">
      <w:pPr>
        <w:pStyle w:val="3"/>
      </w:pPr>
      <w:bookmarkStart w:id="3" w:name="_Toc16164340"/>
      <w:bookmarkStart w:id="4" w:name="_Toc16248770"/>
    </w:p>
    <w:p w14:paraId="0D8AB2B5">
      <w:pPr>
        <w:rPr>
          <w:kern w:val="44"/>
          <w:sz w:val="36"/>
          <w:szCs w:val="44"/>
          <w:lang w:val="zh-CN"/>
        </w:rPr>
      </w:pPr>
      <w:r>
        <w:br w:type="page"/>
      </w:r>
    </w:p>
    <w:p w14:paraId="6598A6F5">
      <w:pPr>
        <w:pStyle w:val="3"/>
      </w:pPr>
      <w:r>
        <w:rPr>
          <w:rFonts w:hint="eastAsia"/>
        </w:rPr>
        <w:t>第二章  报价须知</w:t>
      </w:r>
      <w:bookmarkEnd w:id="3"/>
      <w:bookmarkEnd w:id="4"/>
    </w:p>
    <w:p w14:paraId="11417C0E">
      <w:pPr>
        <w:pStyle w:val="4"/>
      </w:pPr>
      <w:bookmarkStart w:id="5" w:name="_Toc16248771"/>
      <w:bookmarkStart w:id="6" w:name="_Toc16164341"/>
      <w:r>
        <w:rPr>
          <w:rFonts w:hint="eastAsia"/>
        </w:rPr>
        <w:t>一、项目概况</w:t>
      </w:r>
      <w:bookmarkEnd w:id="5"/>
      <w:bookmarkEnd w:id="6"/>
    </w:p>
    <w:p w14:paraId="05895243">
      <w:pPr>
        <w:spacing w:line="360" w:lineRule="auto"/>
        <w:ind w:firstLine="360" w:firstLineChars="150"/>
        <w:rPr>
          <w:rFonts w:hint="eastAsia" w:ascii="宋体" w:hAnsi="宋体" w:cs="宋体"/>
          <w:bCs/>
          <w:sz w:val="24"/>
          <w:u w:val="single"/>
        </w:rPr>
      </w:pPr>
      <w:r>
        <w:rPr>
          <w:rFonts w:hint="eastAsia" w:ascii="宋体" w:hAnsi="宋体" w:cs="宋体"/>
          <w:sz w:val="24"/>
        </w:rPr>
        <w:t>（1）项目名称：</w:t>
      </w:r>
      <w:r>
        <w:rPr>
          <w:rFonts w:hint="eastAsia" w:ascii="宋体" w:hAnsi="宋体" w:cs="宋体"/>
          <w:bCs/>
          <w:sz w:val="24"/>
          <w:u w:val="single"/>
        </w:rPr>
        <w:t xml:space="preserve">2025年度无锡市集中式饮用水水源地环境状况调查评估 </w:t>
      </w:r>
    </w:p>
    <w:p w14:paraId="01A026F8">
      <w:pPr>
        <w:spacing w:line="360" w:lineRule="auto"/>
        <w:ind w:firstLine="360" w:firstLineChars="150"/>
        <w:rPr>
          <w:rFonts w:hint="eastAsia" w:ascii="宋体" w:hAnsi="宋体" w:cs="宋体"/>
          <w:sz w:val="24"/>
        </w:rPr>
      </w:pPr>
      <w:r>
        <w:rPr>
          <w:rFonts w:hint="eastAsia" w:ascii="宋体" w:hAnsi="宋体" w:cs="宋体"/>
          <w:sz w:val="24"/>
        </w:rPr>
        <w:t>（2）项目所在地：无锡市</w:t>
      </w:r>
    </w:p>
    <w:p w14:paraId="35981916">
      <w:pPr>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（3）采购控制总价：9.84万元</w:t>
      </w:r>
    </w:p>
    <w:p w14:paraId="304B3C2D">
      <w:pPr>
        <w:spacing w:line="360" w:lineRule="auto"/>
        <w:ind w:firstLine="360" w:firstLineChars="150"/>
        <w:rPr>
          <w:rFonts w:hint="eastAsia" w:ascii="宋体" w:hAnsi="宋体" w:cs="宋体"/>
          <w:sz w:val="24"/>
        </w:rPr>
      </w:pPr>
      <w:r>
        <w:rPr>
          <w:rFonts w:hint="eastAsia" w:ascii="宋体" w:hAnsi="宋体" w:cs="宋体"/>
          <w:sz w:val="24"/>
        </w:rPr>
        <w:t>（4）项目完成截止日期：在2025年12月3</w:t>
      </w:r>
      <w:r>
        <w:rPr>
          <w:rFonts w:ascii="宋体" w:hAnsi="宋体" w:cs="宋体"/>
          <w:sz w:val="24"/>
        </w:rPr>
        <w:t>1</w:t>
      </w:r>
      <w:r>
        <w:rPr>
          <w:rFonts w:hint="eastAsia" w:ascii="宋体" w:hAnsi="宋体" w:cs="宋体"/>
          <w:sz w:val="24"/>
        </w:rPr>
        <w:t>日前完成</w:t>
      </w:r>
    </w:p>
    <w:p w14:paraId="6B5580A1">
      <w:pPr>
        <w:spacing w:line="360" w:lineRule="auto"/>
        <w:ind w:firstLine="360" w:firstLineChars="150"/>
        <w:rPr>
          <w:rFonts w:hint="eastAsia" w:ascii="宋体" w:hAnsi="宋体" w:cs="宋体"/>
          <w:sz w:val="24"/>
        </w:rPr>
      </w:pPr>
      <w:r>
        <w:rPr>
          <w:rFonts w:hint="eastAsia" w:ascii="宋体" w:hAnsi="宋体" w:cs="宋体"/>
          <w:sz w:val="24"/>
        </w:rPr>
        <w:t>（5）质量要求：</w:t>
      </w:r>
      <w:bookmarkStart w:id="7" w:name="_Toc16248772"/>
      <w:bookmarkStart w:id="8" w:name="_Toc16164342"/>
      <w:r>
        <w:rPr>
          <w:rFonts w:hint="eastAsia" w:ascii="宋体" w:hAnsi="宋体" w:cs="宋体"/>
          <w:sz w:val="24"/>
        </w:rPr>
        <w:t>根据生态环境部《关于开展全国城市集中式饮用水水源环境状况评估工作的通知》（环办〔2011〕4号），《集中式饮用水水源地规范化建设环境保护技术要求》（HJ 773-2015）“9.3 定期开展饮用水水源地环境状况评估”，省生态环境厅《关于做好我省集中式饮用水水源地规范化建设工作的通知》（苏环办〔2024〕209号），各地要对城市水源地规范化建设情况开展复核。</w:t>
      </w:r>
      <w:bookmarkStart w:id="9" w:name="OLE_LINK5"/>
      <w:bookmarkStart w:id="10" w:name="_Hlk194090277"/>
      <w:r>
        <w:rPr>
          <w:rFonts w:hint="eastAsia" w:ascii="宋体" w:hAnsi="宋体" w:cs="宋体"/>
          <w:sz w:val="24"/>
        </w:rPr>
        <w:t>为保障饮用水水源地安全，拟委托第三方技术单位通过资料查阅、台账检查、无人机排查、卫片识别等方式，对市区3个县级以上集中式饮用水水源地开展水源地环境状况现场调查，按照《集中式饮用水水源地环境保护状况评估技术规范》（HJ774-2015）要求组织开展饮用水源地环境状况评估，识别3个市区供水集中式饮用水水源地存在的问题，分别编写形成《2025年无锡市地级以上集中式饮用水水源地环境状况评估报告（西石桥、沙渚）》、《2025年无锡市县级以上集中式饮用水水源地环境状况评估报告（锡东）》，并对全市10个饮用水水源地环境状况档案、保护区矢量图进行动态更新。</w:t>
      </w:r>
      <w:r>
        <w:rPr>
          <w:rFonts w:hint="eastAsia" w:hAnsi="宋体" w:cs="宋体"/>
          <w:sz w:val="24"/>
        </w:rPr>
        <w:t>上述2份评估报告、水源地档案、动态更新图纸</w:t>
      </w:r>
      <w:r>
        <w:rPr>
          <w:rFonts w:hint="eastAsia" w:hAnsi="宋体"/>
          <w:sz w:val="24"/>
        </w:rPr>
        <w:t>通过采购方的评审验收。</w:t>
      </w:r>
    </w:p>
    <w:p w14:paraId="522E796C">
      <w:pPr>
        <w:spacing w:line="360" w:lineRule="auto"/>
        <w:ind w:firstLine="360" w:firstLineChars="150"/>
        <w:rPr>
          <w:rFonts w:hint="eastAsia" w:ascii="宋体" w:hAnsi="宋体" w:cs="宋体"/>
          <w:sz w:val="24"/>
        </w:rPr>
      </w:pPr>
    </w:p>
    <w:bookmarkEnd w:id="9"/>
    <w:bookmarkEnd w:id="10"/>
    <w:p w14:paraId="29EE62FA">
      <w:pPr>
        <w:pStyle w:val="4"/>
      </w:pPr>
      <w:r>
        <w:rPr>
          <w:rFonts w:hint="eastAsia"/>
        </w:rPr>
        <w:t>二、</w:t>
      </w:r>
      <w:r>
        <w:rPr>
          <w:rFonts w:hint="eastAsia"/>
          <w:lang w:val="en-US"/>
        </w:rPr>
        <w:t>供应商</w:t>
      </w:r>
      <w:r>
        <w:rPr>
          <w:rFonts w:hint="eastAsia"/>
        </w:rPr>
        <w:t>及项目负责人资质要求</w:t>
      </w:r>
      <w:bookmarkEnd w:id="7"/>
      <w:bookmarkEnd w:id="8"/>
    </w:p>
    <w:p w14:paraId="4072E834">
      <w:pPr>
        <w:widowControl/>
        <w:shd w:val="clear" w:color="auto" w:fill="FFFFFF"/>
        <w:spacing w:before="180" w:after="180" w:line="360" w:lineRule="atLeast"/>
        <w:ind w:firstLine="480"/>
        <w:jc w:val="left"/>
        <w:rPr>
          <w:rFonts w:hint="eastAsia" w:ascii="宋体" w:hAnsi="宋体" w:cs="宋体"/>
          <w:sz w:val="24"/>
        </w:rPr>
      </w:pPr>
      <w:r>
        <w:rPr>
          <w:rFonts w:hint="eastAsia" w:ascii="宋体" w:hAnsi="宋体" w:cs="宋体"/>
          <w:sz w:val="24"/>
        </w:rPr>
        <w:t>供应商参加本次公开采购活动除应当符合《中华人民共和国政府采购法》第二十二条的规定外，还必须具备下列条件：</w:t>
      </w:r>
    </w:p>
    <w:p w14:paraId="7B0CBE9D">
      <w:pPr>
        <w:spacing w:line="480" w:lineRule="exact"/>
        <w:ind w:firstLine="480" w:firstLineChars="200"/>
        <w:rPr>
          <w:rFonts w:hint="eastAsia" w:ascii="宋体" w:hAnsi="宋体" w:cs="宋体"/>
          <w:sz w:val="24"/>
        </w:rPr>
      </w:pPr>
      <w:bookmarkStart w:id="11" w:name="_Toc16164343"/>
      <w:bookmarkStart w:id="12" w:name="_Toc16248773"/>
      <w:r>
        <w:rPr>
          <w:rFonts w:hint="eastAsia" w:ascii="宋体" w:hAnsi="宋体" w:cs="宋体"/>
          <w:sz w:val="24"/>
        </w:rPr>
        <w:t>（1）中华人民共和国境内合法注册、具有独立法人资格的企业；</w:t>
      </w:r>
    </w:p>
    <w:p w14:paraId="665AA446">
      <w:pPr>
        <w:spacing w:line="480" w:lineRule="exact"/>
        <w:ind w:firstLine="480" w:firstLineChars="200"/>
        <w:rPr>
          <w:rFonts w:hint="eastAsia" w:ascii="宋体" w:hAnsi="宋体" w:cs="宋体"/>
          <w:sz w:val="24"/>
        </w:rPr>
      </w:pPr>
      <w:r>
        <w:rPr>
          <w:rFonts w:hint="eastAsia" w:ascii="宋体" w:hAnsi="宋体" w:cs="宋体"/>
          <w:sz w:val="24"/>
        </w:rPr>
        <w:t>（2）具有独立承担民事责任的能力；</w:t>
      </w:r>
    </w:p>
    <w:p w14:paraId="6AE075F9">
      <w:pPr>
        <w:spacing w:line="480" w:lineRule="exact"/>
        <w:ind w:firstLine="480" w:firstLineChars="200"/>
        <w:rPr>
          <w:rFonts w:hint="eastAsia" w:ascii="宋体" w:hAnsi="宋体" w:cs="宋体"/>
          <w:sz w:val="24"/>
        </w:rPr>
      </w:pPr>
      <w:r>
        <w:rPr>
          <w:rFonts w:hint="eastAsia" w:ascii="宋体" w:hAnsi="宋体" w:cs="宋体"/>
          <w:sz w:val="24"/>
        </w:rPr>
        <w:t>（3）本项目不接受联合体响应。</w:t>
      </w:r>
    </w:p>
    <w:p w14:paraId="63D601BE">
      <w:pPr>
        <w:pStyle w:val="4"/>
      </w:pPr>
      <w:r>
        <w:rPr>
          <w:rFonts w:hint="eastAsia"/>
        </w:rPr>
        <w:t>三、响应文件的递交</w:t>
      </w:r>
      <w:bookmarkEnd w:id="11"/>
      <w:bookmarkEnd w:id="12"/>
    </w:p>
    <w:p w14:paraId="4DE7C32A">
      <w:pPr>
        <w:spacing w:line="360" w:lineRule="auto"/>
        <w:ind w:firstLine="360" w:firstLineChars="150"/>
        <w:rPr>
          <w:rFonts w:hint="eastAsia" w:ascii="宋体" w:hAnsi="宋体" w:cs="宋体"/>
          <w:sz w:val="24"/>
        </w:rPr>
      </w:pPr>
      <w:r>
        <w:rPr>
          <w:rFonts w:hint="eastAsia" w:ascii="宋体" w:hAnsi="宋体" w:cs="宋体"/>
          <w:sz w:val="24"/>
        </w:rPr>
        <w:t>（1）响应文件递交时间为2025年4月15日（周二）上午</w:t>
      </w:r>
      <w:r>
        <w:rPr>
          <w:rFonts w:hint="eastAsia" w:ascii="宋体" w:hAnsi="宋体" w:cs="宋体"/>
          <w:sz w:val="24"/>
          <w:lang w:val="en-US" w:eastAsia="zh-CN"/>
        </w:rPr>
        <w:t>9</w:t>
      </w:r>
      <w:r>
        <w:rPr>
          <w:rFonts w:hint="eastAsia" w:ascii="宋体" w:hAnsi="宋体" w:cs="宋体"/>
          <w:sz w:val="24"/>
        </w:rPr>
        <w:t>:</w:t>
      </w:r>
      <w:r>
        <w:rPr>
          <w:rFonts w:hint="eastAsia" w:ascii="宋体" w:hAnsi="宋体" w:cs="宋体"/>
          <w:sz w:val="24"/>
          <w:lang w:val="en-US" w:eastAsia="zh-CN"/>
        </w:rPr>
        <w:t>3</w:t>
      </w:r>
      <w:bookmarkStart w:id="60" w:name="_GoBack"/>
      <w:bookmarkEnd w:id="60"/>
      <w:r>
        <w:rPr>
          <w:rFonts w:hint="eastAsia" w:ascii="宋体" w:hAnsi="宋体" w:cs="宋体"/>
          <w:sz w:val="24"/>
        </w:rPr>
        <w:t>0前。</w:t>
      </w:r>
    </w:p>
    <w:p w14:paraId="5B4B9B2A">
      <w:pPr>
        <w:spacing w:line="480" w:lineRule="exact"/>
        <w:ind w:firstLine="480" w:firstLineChars="200"/>
        <w:rPr>
          <w:rFonts w:hint="eastAsia" w:ascii="宋体" w:hAnsi="宋体" w:cs="宋体"/>
          <w:sz w:val="24"/>
        </w:rPr>
      </w:pPr>
      <w:r>
        <w:rPr>
          <w:rFonts w:hint="eastAsia" w:ascii="宋体" w:hAnsi="宋体" w:cs="宋体"/>
          <w:sz w:val="24"/>
        </w:rPr>
        <w:t>（2）响应文件递交地点：无锡市经开区观山路199号市民中心11楼321会议室</w:t>
      </w:r>
    </w:p>
    <w:p w14:paraId="33EF529C">
      <w:pPr>
        <w:spacing w:line="360" w:lineRule="auto"/>
        <w:ind w:firstLine="360" w:firstLineChars="150"/>
        <w:rPr>
          <w:rFonts w:hint="eastAsia" w:ascii="宋体" w:hAnsi="宋体" w:cs="宋体"/>
          <w:sz w:val="24"/>
        </w:rPr>
      </w:pPr>
      <w:r>
        <w:rPr>
          <w:rFonts w:hint="eastAsia" w:ascii="宋体" w:hAnsi="宋体" w:cs="宋体"/>
          <w:sz w:val="24"/>
        </w:rPr>
        <w:t>（3）逾期递交的或者未递交到指定地点的响应文件，采购人不予受理。</w:t>
      </w:r>
    </w:p>
    <w:p w14:paraId="41D622CB">
      <w:pPr>
        <w:pStyle w:val="4"/>
      </w:pPr>
      <w:bookmarkStart w:id="13" w:name="_Toc16248774"/>
      <w:bookmarkStart w:id="14" w:name="_Toc16164344"/>
      <w:r>
        <w:rPr>
          <w:rFonts w:hint="eastAsia"/>
        </w:rPr>
        <w:t>四、采购文件的答疑</w:t>
      </w:r>
      <w:bookmarkEnd w:id="13"/>
      <w:bookmarkEnd w:id="14"/>
    </w:p>
    <w:p w14:paraId="70C212A5">
      <w:pPr>
        <w:spacing w:line="360" w:lineRule="auto"/>
        <w:ind w:firstLine="360" w:firstLineChars="150"/>
        <w:rPr>
          <w:rFonts w:hint="eastAsia" w:ascii="宋体" w:hAnsi="宋体" w:cs="宋体"/>
          <w:sz w:val="24"/>
        </w:rPr>
      </w:pPr>
      <w:r>
        <w:rPr>
          <w:rFonts w:hint="eastAsia" w:ascii="宋体" w:hAnsi="宋体" w:cs="宋体"/>
          <w:sz w:val="24"/>
        </w:rPr>
        <w:t>（1）供应商应认真检查采购文件的内容是否齐全，如有遗漏请于获取采购文件当日向采购人索取。</w:t>
      </w:r>
    </w:p>
    <w:p w14:paraId="2799AA46">
      <w:pPr>
        <w:spacing w:line="360" w:lineRule="auto"/>
        <w:ind w:firstLine="360" w:firstLineChars="150"/>
        <w:rPr>
          <w:rFonts w:hint="eastAsia" w:ascii="宋体" w:hAnsi="宋体" w:cs="宋体"/>
          <w:sz w:val="24"/>
        </w:rPr>
      </w:pPr>
      <w:r>
        <w:rPr>
          <w:rFonts w:hint="eastAsia" w:ascii="宋体" w:hAnsi="宋体" w:cs="宋体"/>
          <w:sz w:val="24"/>
        </w:rPr>
        <w:t>（2）供应商在收到采购文件和有关资料后，应仔细阅读和检查全部内容，若有疑问应以书面形式在2025年4月14日（周一）12:00前，向采购人提出。</w:t>
      </w:r>
    </w:p>
    <w:p w14:paraId="544E107D">
      <w:pPr>
        <w:spacing w:line="360" w:lineRule="auto"/>
        <w:ind w:firstLine="360" w:firstLineChars="150"/>
        <w:rPr>
          <w:rFonts w:hint="eastAsia" w:ascii="宋体" w:hAnsi="宋体" w:cs="宋体"/>
          <w:sz w:val="24"/>
        </w:rPr>
      </w:pPr>
      <w:r>
        <w:rPr>
          <w:rFonts w:hint="eastAsia" w:ascii="宋体" w:hAnsi="宋体" w:cs="宋体"/>
          <w:sz w:val="24"/>
        </w:rPr>
        <w:t>（3）供应商由于对采购文件任何推论和误解以及采购人对有关问题的口头解释引发供应商对采购文件产生的任何误解及推论等所造成的后果，均由供应商自负。</w:t>
      </w:r>
    </w:p>
    <w:p w14:paraId="0368DAA9">
      <w:pPr>
        <w:pStyle w:val="4"/>
      </w:pPr>
      <w:bookmarkStart w:id="15" w:name="_Toc16248775"/>
      <w:bookmarkStart w:id="16" w:name="_Toc16164345"/>
      <w:r>
        <w:rPr>
          <w:rFonts w:hint="eastAsia"/>
        </w:rPr>
        <w:t>五、采购文件的修改</w:t>
      </w:r>
      <w:bookmarkEnd w:id="15"/>
      <w:bookmarkEnd w:id="16"/>
    </w:p>
    <w:p w14:paraId="65F4EBA4">
      <w:pPr>
        <w:spacing w:line="360" w:lineRule="auto"/>
        <w:ind w:firstLine="480" w:firstLineChars="200"/>
        <w:rPr>
          <w:rFonts w:hint="eastAsia" w:ascii="宋体" w:hAnsi="宋体" w:cs="宋体"/>
          <w:sz w:val="24"/>
        </w:rPr>
      </w:pPr>
      <w:bookmarkStart w:id="17" w:name="OLE_LINK1"/>
      <w:r>
        <w:rPr>
          <w:rFonts w:hint="eastAsia" w:ascii="宋体" w:hAnsi="宋体" w:cs="宋体"/>
          <w:sz w:val="24"/>
        </w:rPr>
        <w:t>提交首次响应文件截止之日前，采购人或者谈判小组可以对已发出的响应文件进行必要的澄清或者修改，澄清或者修改的内容作为响应文件的组成部分。</w:t>
      </w:r>
    </w:p>
    <w:p w14:paraId="657DAA57">
      <w:pPr>
        <w:spacing w:line="360" w:lineRule="auto"/>
        <w:ind w:firstLine="480" w:firstLineChars="200"/>
        <w:rPr>
          <w:rFonts w:hint="eastAsia" w:ascii="宋体" w:hAnsi="宋体" w:cs="宋体"/>
          <w:sz w:val="24"/>
        </w:rPr>
      </w:pPr>
      <w:r>
        <w:rPr>
          <w:rFonts w:hint="eastAsia" w:ascii="宋体" w:hAnsi="宋体" w:cs="宋体"/>
          <w:sz w:val="24"/>
        </w:rPr>
        <w:t>如果澄清或者修改的内容可能影响响应文件编制的，应当在提交首次响应文件截止之日3个工作日前，以书面形式通知所有接收响应文件的供应商，不足3个工作日的，应当顺延提交首次响应文件截止之日。</w:t>
      </w:r>
    </w:p>
    <w:bookmarkEnd w:id="17"/>
    <w:p w14:paraId="7B8F167A">
      <w:pPr>
        <w:pStyle w:val="4"/>
      </w:pPr>
      <w:bookmarkStart w:id="18" w:name="_Toc16248776"/>
      <w:bookmarkStart w:id="19" w:name="_Toc16164346"/>
      <w:r>
        <w:rPr>
          <w:rFonts w:hint="eastAsia"/>
        </w:rPr>
        <w:t>六、费用</w:t>
      </w:r>
      <w:bookmarkEnd w:id="18"/>
      <w:bookmarkEnd w:id="19"/>
    </w:p>
    <w:p w14:paraId="70DFE7F9">
      <w:pPr>
        <w:spacing w:line="360" w:lineRule="auto"/>
        <w:ind w:firstLine="480" w:firstLineChars="200"/>
        <w:rPr>
          <w:rFonts w:hint="eastAsia" w:ascii="宋体" w:hAnsi="宋体" w:cs="宋体"/>
          <w:sz w:val="24"/>
        </w:rPr>
      </w:pPr>
      <w:r>
        <w:rPr>
          <w:rFonts w:hint="eastAsia" w:ascii="宋体" w:hAnsi="宋体" w:cs="宋体"/>
          <w:sz w:val="24"/>
        </w:rPr>
        <w:t>供应商应承担其因响应及参与谈判（包括但不限于编制及递交响应文件等）所涉及的一切费用。无论结果如何，采购人对上述费用不负任何责任。</w:t>
      </w:r>
    </w:p>
    <w:p w14:paraId="33D3D17B">
      <w:pPr>
        <w:pStyle w:val="4"/>
        <w:numPr>
          <w:ilvl w:val="0"/>
          <w:numId w:val="1"/>
        </w:numPr>
      </w:pPr>
      <w:bookmarkStart w:id="20" w:name="_Toc16164347"/>
      <w:bookmarkStart w:id="21" w:name="_Toc16248777"/>
      <w:r>
        <w:rPr>
          <w:rFonts w:hint="eastAsia"/>
        </w:rPr>
        <w:t>响应文件编制</w:t>
      </w:r>
      <w:bookmarkEnd w:id="20"/>
      <w:bookmarkEnd w:id="21"/>
    </w:p>
    <w:p w14:paraId="5C5740F8">
      <w:pPr>
        <w:pStyle w:val="4"/>
        <w:ind w:firstLine="482" w:firstLineChars="200"/>
      </w:pPr>
      <w:r>
        <w:rPr>
          <w:rFonts w:hint="eastAsia" w:ascii="黑体" w:hAnsi="宋体" w:eastAsia="黑体"/>
          <w:sz w:val="24"/>
        </w:rPr>
        <w:t>响应文件的组成：</w:t>
      </w:r>
      <w:r>
        <w:rPr>
          <w:rFonts w:hint="eastAsia" w:hAnsi="宋体"/>
          <w:sz w:val="24"/>
        </w:rPr>
        <w:t>响应文件由资格证明文件部分、响应函部分、技术文件三部分组成。</w:t>
      </w:r>
    </w:p>
    <w:p w14:paraId="042D4BE8">
      <w:pPr>
        <w:spacing w:line="360" w:lineRule="auto"/>
        <w:ind w:firstLine="360" w:firstLineChars="150"/>
        <w:rPr>
          <w:rFonts w:hint="eastAsia" w:hAnsi="宋体"/>
          <w:sz w:val="24"/>
        </w:rPr>
      </w:pPr>
      <w:r>
        <w:rPr>
          <w:rFonts w:hint="eastAsia" w:hAnsi="宋体"/>
          <w:sz w:val="24"/>
        </w:rPr>
        <w:t>1.</w:t>
      </w:r>
      <w:r>
        <w:rPr>
          <w:rFonts w:hint="eastAsia" w:hAnsi="宋体"/>
          <w:sz w:val="24"/>
        </w:rPr>
        <w:tab/>
      </w:r>
      <w:r>
        <w:rPr>
          <w:rFonts w:hint="eastAsia" w:hAnsi="宋体"/>
          <w:sz w:val="24"/>
        </w:rPr>
        <w:t>资格证明文件部分：</w:t>
      </w:r>
    </w:p>
    <w:p w14:paraId="72C03D82">
      <w:pPr>
        <w:spacing w:line="360" w:lineRule="auto"/>
        <w:ind w:firstLine="360" w:firstLineChars="150"/>
        <w:rPr>
          <w:rFonts w:hint="eastAsia" w:hAnsi="宋体"/>
          <w:sz w:val="24"/>
        </w:rPr>
      </w:pPr>
      <w:r>
        <w:rPr>
          <w:rFonts w:hint="eastAsia" w:hAnsi="宋体"/>
          <w:sz w:val="24"/>
        </w:rPr>
        <w:t>（1）关于资格的声明函（格式见附件）</w:t>
      </w:r>
    </w:p>
    <w:p w14:paraId="2EF9C120">
      <w:pPr>
        <w:spacing w:line="360" w:lineRule="auto"/>
        <w:ind w:firstLine="360" w:firstLineChars="150"/>
        <w:rPr>
          <w:rFonts w:hint="eastAsia" w:ascii="宋体" w:hAnsi="宋体" w:cs="宋体"/>
          <w:sz w:val="24"/>
        </w:rPr>
      </w:pPr>
      <w:r>
        <w:rPr>
          <w:rFonts w:hint="eastAsia" w:ascii="宋体" w:hAnsi="宋体" w:cs="宋体"/>
          <w:sz w:val="24"/>
        </w:rPr>
        <w:t>（2）供应商法人营业执照副本复印件或法人登记证书副本复印件（加盖公章）</w:t>
      </w:r>
    </w:p>
    <w:p w14:paraId="51D0677C">
      <w:pPr>
        <w:spacing w:line="360" w:lineRule="auto"/>
        <w:ind w:firstLine="360" w:firstLineChars="150"/>
        <w:rPr>
          <w:rFonts w:hint="eastAsia" w:ascii="宋体" w:hAnsi="宋体" w:cs="宋体"/>
          <w:sz w:val="24"/>
        </w:rPr>
      </w:pPr>
      <w:r>
        <w:rPr>
          <w:rFonts w:hint="eastAsia" w:ascii="宋体" w:hAnsi="宋体" w:cs="宋体"/>
          <w:sz w:val="24"/>
        </w:rPr>
        <w:t>（3）供应商法定代表人授权委托书（法定代表人亲自参与报价的除外，格式见附件）；</w:t>
      </w:r>
    </w:p>
    <w:p w14:paraId="1BE88492">
      <w:pPr>
        <w:spacing w:line="360" w:lineRule="auto"/>
        <w:ind w:firstLine="360" w:firstLineChars="150"/>
        <w:rPr>
          <w:rFonts w:hint="eastAsia" w:ascii="宋体" w:hAnsi="宋体" w:cs="宋体"/>
          <w:sz w:val="24"/>
        </w:rPr>
      </w:pPr>
      <w:r>
        <w:rPr>
          <w:rFonts w:hint="eastAsia" w:ascii="宋体" w:hAnsi="宋体" w:cs="宋体"/>
          <w:sz w:val="24"/>
        </w:rPr>
        <w:t>（4）供应商法定代表人身份证复印件（加盖公章）</w:t>
      </w:r>
    </w:p>
    <w:p w14:paraId="451A473F">
      <w:pPr>
        <w:spacing w:line="360" w:lineRule="auto"/>
        <w:ind w:firstLine="360" w:firstLineChars="150"/>
        <w:rPr>
          <w:rFonts w:hint="eastAsia" w:ascii="宋体" w:hAnsi="宋体" w:cs="宋体"/>
          <w:sz w:val="24"/>
        </w:rPr>
      </w:pPr>
      <w:r>
        <w:rPr>
          <w:rFonts w:hint="eastAsia" w:ascii="宋体" w:hAnsi="宋体" w:cs="宋体"/>
          <w:sz w:val="24"/>
        </w:rPr>
        <w:t>（5）供应商法定代表人授权代表身份证复印件（需提供原件）</w:t>
      </w:r>
    </w:p>
    <w:p w14:paraId="1852CD72">
      <w:pPr>
        <w:spacing w:line="360" w:lineRule="auto"/>
        <w:ind w:firstLine="360" w:firstLineChars="150"/>
        <w:rPr>
          <w:rFonts w:hint="eastAsia" w:ascii="宋体" w:hAnsi="宋体" w:cs="宋体"/>
          <w:sz w:val="24"/>
        </w:rPr>
      </w:pPr>
      <w:r>
        <w:rPr>
          <w:rFonts w:hint="eastAsia" w:ascii="宋体" w:hAnsi="宋体" w:cs="宋体"/>
          <w:sz w:val="24"/>
        </w:rPr>
        <w:t>（6）承诺书（格式见附件）</w:t>
      </w:r>
    </w:p>
    <w:p w14:paraId="18F505EB">
      <w:pPr>
        <w:spacing w:line="360" w:lineRule="auto"/>
        <w:ind w:left="315" w:leftChars="150" w:firstLine="120" w:firstLineChars="50"/>
        <w:rPr>
          <w:rFonts w:hint="eastAsia" w:ascii="宋体" w:hAnsi="宋体" w:cs="宋体"/>
          <w:sz w:val="24"/>
        </w:rPr>
      </w:pPr>
      <w:r>
        <w:rPr>
          <w:rFonts w:hint="eastAsia" w:ascii="宋体" w:hAnsi="宋体" w:cs="宋体"/>
          <w:sz w:val="24"/>
        </w:rPr>
        <w:t>（7）其他补充的文件</w:t>
      </w:r>
    </w:p>
    <w:p w14:paraId="4A622EFA">
      <w:pPr>
        <w:spacing w:line="360" w:lineRule="auto"/>
        <w:ind w:firstLine="360" w:firstLineChars="150"/>
        <w:rPr>
          <w:rFonts w:hint="eastAsia" w:ascii="宋体" w:hAnsi="宋体" w:cs="宋体"/>
          <w:sz w:val="24"/>
        </w:rPr>
      </w:pPr>
      <w:r>
        <w:rPr>
          <w:rFonts w:ascii="宋体" w:hAnsi="宋体" w:cs="宋体"/>
          <w:sz w:val="24"/>
        </w:rPr>
        <w:t>上述资格证明文件必须全部提供。供</w:t>
      </w:r>
      <w:r>
        <w:rPr>
          <w:rFonts w:hint="eastAsia" w:ascii="宋体" w:hAnsi="宋体" w:cs="宋体"/>
          <w:sz w:val="24"/>
        </w:rPr>
        <w:t>应</w:t>
      </w:r>
      <w:r>
        <w:rPr>
          <w:rFonts w:ascii="宋体" w:hAnsi="宋体" w:cs="宋体"/>
          <w:sz w:val="24"/>
        </w:rPr>
        <w:t>商法定代表人或法定代表人授权代表为外籍、港、澳、台地区人士的，其身份证明须提供有效的护照或港澳同胞来往内地通行证、台湾同胞来往大陆通行证，或其它可在中国大陆有效居留的许可证明。供</w:t>
      </w:r>
      <w:r>
        <w:rPr>
          <w:rFonts w:hint="eastAsia" w:ascii="宋体" w:hAnsi="宋体" w:cs="宋体"/>
          <w:sz w:val="24"/>
        </w:rPr>
        <w:t>应</w:t>
      </w:r>
      <w:r>
        <w:rPr>
          <w:rFonts w:ascii="宋体" w:hAnsi="宋体" w:cs="宋体"/>
          <w:sz w:val="24"/>
        </w:rPr>
        <w:t>商所提交的证明文件的完整与否，将直接影响其响应文件的审核结果。</w:t>
      </w:r>
      <w:r>
        <w:rPr>
          <w:rFonts w:hint="eastAsia" w:ascii="宋体" w:hAnsi="宋体" w:cs="宋体"/>
          <w:sz w:val="24"/>
        </w:rPr>
        <w:br w:type="textWrapping"/>
      </w:r>
      <w:r>
        <w:rPr>
          <w:rFonts w:hint="eastAsia" w:ascii="宋体" w:hAnsi="宋体" w:cs="宋体"/>
          <w:sz w:val="24"/>
        </w:rPr>
        <w:t xml:space="preserve">   2、响应函部分</w:t>
      </w:r>
    </w:p>
    <w:p w14:paraId="60B3CC03">
      <w:pPr>
        <w:tabs>
          <w:tab w:val="left" w:pos="840"/>
          <w:tab w:val="left" w:pos="1050"/>
        </w:tabs>
        <w:spacing w:line="360" w:lineRule="auto"/>
        <w:ind w:firstLine="480" w:firstLineChars="200"/>
        <w:rPr>
          <w:bCs/>
          <w:sz w:val="24"/>
        </w:rPr>
      </w:pPr>
      <w:r>
        <w:rPr>
          <w:rFonts w:hint="eastAsia" w:ascii="宋体" w:hAnsi="宋体" w:cs="宋体"/>
          <w:sz w:val="24"/>
        </w:rPr>
        <w:t>（1）</w:t>
      </w:r>
      <w:r>
        <w:rPr>
          <w:rFonts w:hint="eastAsia"/>
          <w:bCs/>
          <w:sz w:val="24"/>
        </w:rPr>
        <w:t>响应函（</w:t>
      </w:r>
      <w:r>
        <w:rPr>
          <w:rFonts w:hint="eastAsia"/>
          <w:b/>
          <w:sz w:val="24"/>
        </w:rPr>
        <w:t>格式见附件</w:t>
      </w:r>
      <w:r>
        <w:rPr>
          <w:rFonts w:hint="eastAsia"/>
          <w:bCs/>
          <w:sz w:val="24"/>
        </w:rPr>
        <w:t>）</w:t>
      </w:r>
    </w:p>
    <w:p w14:paraId="1F9BC8AB">
      <w:pPr>
        <w:tabs>
          <w:tab w:val="left" w:pos="840"/>
          <w:tab w:val="left" w:pos="1050"/>
        </w:tabs>
        <w:spacing w:line="360" w:lineRule="auto"/>
        <w:ind w:firstLine="480" w:firstLineChars="200"/>
        <w:rPr>
          <w:b/>
          <w:bCs/>
          <w:sz w:val="24"/>
        </w:rPr>
      </w:pPr>
      <w:r>
        <w:rPr>
          <w:rFonts w:hint="eastAsia"/>
          <w:bCs/>
          <w:sz w:val="24"/>
        </w:rPr>
        <w:t>（2）报价</w:t>
      </w:r>
      <w:r>
        <w:rPr>
          <w:bCs/>
          <w:sz w:val="24"/>
        </w:rPr>
        <w:t>一览表</w:t>
      </w:r>
      <w:r>
        <w:rPr>
          <w:b/>
          <w:bCs/>
          <w:sz w:val="24"/>
        </w:rPr>
        <w:t>(格式见附件)</w:t>
      </w:r>
    </w:p>
    <w:p w14:paraId="2923D204">
      <w:pPr>
        <w:spacing w:line="360" w:lineRule="auto"/>
        <w:ind w:firstLine="360" w:firstLineChars="150"/>
        <w:rPr>
          <w:rFonts w:hint="eastAsia" w:ascii="宋体" w:hAnsi="宋体" w:cs="宋体"/>
          <w:sz w:val="24"/>
        </w:rPr>
      </w:pPr>
      <w:r>
        <w:rPr>
          <w:rFonts w:hint="eastAsia" w:ascii="宋体" w:hAnsi="宋体" w:cs="宋体"/>
          <w:sz w:val="24"/>
        </w:rPr>
        <w:t>3、商务及技术文件部分</w:t>
      </w:r>
    </w:p>
    <w:p w14:paraId="1BC3FD48">
      <w:pPr>
        <w:spacing w:line="360" w:lineRule="auto"/>
        <w:ind w:firstLine="480" w:firstLineChars="200"/>
        <w:rPr>
          <w:rFonts w:hint="eastAsia" w:ascii="宋体" w:hAnsi="宋体" w:cs="宋体"/>
          <w:sz w:val="24"/>
        </w:rPr>
      </w:pPr>
      <w:r>
        <w:rPr>
          <w:rFonts w:hint="eastAsia" w:ascii="宋体" w:hAnsi="宋体" w:cs="宋体"/>
          <w:sz w:val="24"/>
        </w:rPr>
        <w:t>（1）商务部分</w:t>
      </w:r>
    </w:p>
    <w:p w14:paraId="0925E51C">
      <w:pPr>
        <w:spacing w:line="360" w:lineRule="auto"/>
        <w:ind w:firstLine="480" w:firstLineChars="200"/>
        <w:rPr>
          <w:rFonts w:hint="eastAsia" w:ascii="宋体" w:hAnsi="宋体" w:cs="宋体"/>
          <w:sz w:val="24"/>
        </w:rPr>
      </w:pPr>
      <w:r>
        <w:rPr>
          <w:rFonts w:hint="eastAsia" w:ascii="宋体" w:hAnsi="宋体" w:cs="宋体"/>
          <w:sz w:val="24"/>
        </w:rPr>
        <w:t>（2）技术部分</w:t>
      </w:r>
    </w:p>
    <w:p w14:paraId="18D98F06">
      <w:pPr>
        <w:pStyle w:val="4"/>
      </w:pPr>
      <w:bookmarkStart w:id="22" w:name="_Toc16164348"/>
      <w:bookmarkStart w:id="23" w:name="_Toc16248778"/>
      <w:r>
        <w:rPr>
          <w:rFonts w:hint="eastAsia"/>
        </w:rPr>
        <w:t>八、响应文件的要求</w:t>
      </w:r>
      <w:bookmarkEnd w:id="22"/>
      <w:bookmarkEnd w:id="23"/>
    </w:p>
    <w:p w14:paraId="11C929A4">
      <w:pPr>
        <w:spacing w:line="360" w:lineRule="auto"/>
        <w:ind w:firstLine="360" w:firstLineChars="150"/>
        <w:rPr>
          <w:rFonts w:hint="eastAsia" w:ascii="宋体" w:hAnsi="宋体" w:cs="宋体"/>
          <w:sz w:val="24"/>
        </w:rPr>
      </w:pPr>
      <w:r>
        <w:rPr>
          <w:rFonts w:hint="eastAsia" w:ascii="宋体" w:hAnsi="宋体" w:cs="宋体"/>
          <w:sz w:val="24"/>
        </w:rPr>
        <w:t>1．所有文件、往来函件均应使用简体中文（规格、型号辅助符号例外）。</w:t>
      </w:r>
    </w:p>
    <w:p w14:paraId="3BA255E4">
      <w:pPr>
        <w:spacing w:line="360" w:lineRule="auto"/>
        <w:ind w:firstLine="360" w:firstLineChars="150"/>
        <w:rPr>
          <w:rFonts w:hint="eastAsia" w:ascii="宋体" w:hAnsi="宋体" w:cs="宋体"/>
          <w:sz w:val="24"/>
        </w:rPr>
      </w:pPr>
      <w:r>
        <w:rPr>
          <w:rFonts w:hint="eastAsia" w:ascii="宋体" w:hAnsi="宋体" w:cs="宋体"/>
          <w:sz w:val="24"/>
        </w:rPr>
        <w:t>2．响应文件由供应商按要求参考给定格式如实填写（编写），须有法人（盖章）、法定代表人或法定代表人授权代表签字或盖章，方为有效，未尽事宜可自行补充。</w:t>
      </w:r>
    </w:p>
    <w:p w14:paraId="42FC65E2">
      <w:pPr>
        <w:spacing w:line="360" w:lineRule="auto"/>
        <w:ind w:firstLine="360" w:firstLineChars="150"/>
        <w:rPr>
          <w:rFonts w:hint="eastAsia" w:ascii="宋体" w:hAnsi="宋体" w:cs="宋体"/>
          <w:sz w:val="24"/>
        </w:rPr>
      </w:pPr>
      <w:r>
        <w:rPr>
          <w:rFonts w:hint="eastAsia" w:ascii="宋体" w:hAnsi="宋体" w:cs="宋体"/>
          <w:sz w:val="24"/>
        </w:rPr>
        <w:t>3．如无特别说明，供应商报价一律以人民币为报价结算货币，结算单位为“元”。</w:t>
      </w:r>
    </w:p>
    <w:p w14:paraId="3463CD18">
      <w:pPr>
        <w:spacing w:line="360" w:lineRule="auto"/>
        <w:ind w:firstLine="360" w:firstLineChars="150"/>
        <w:rPr>
          <w:rFonts w:hint="eastAsia" w:ascii="宋体" w:hAnsi="宋体" w:cs="宋体"/>
          <w:sz w:val="24"/>
        </w:rPr>
      </w:pPr>
      <w:r>
        <w:rPr>
          <w:rFonts w:hint="eastAsia" w:ascii="宋体" w:hAnsi="宋体" w:cs="宋体"/>
          <w:sz w:val="24"/>
        </w:rPr>
        <w:t>4．响应文件应用不褪色的墨水书写或打印。</w:t>
      </w:r>
    </w:p>
    <w:p w14:paraId="35EB622C">
      <w:pPr>
        <w:spacing w:line="360" w:lineRule="auto"/>
        <w:ind w:firstLine="360" w:firstLineChars="150"/>
        <w:rPr>
          <w:rFonts w:hint="eastAsia" w:ascii="宋体" w:hAnsi="宋体" w:cs="宋体"/>
          <w:sz w:val="24"/>
        </w:rPr>
      </w:pPr>
      <w:r>
        <w:rPr>
          <w:rFonts w:hint="eastAsia" w:ascii="宋体" w:hAnsi="宋体" w:cs="宋体"/>
          <w:sz w:val="24"/>
        </w:rPr>
        <w:t>5．响应文件参考响应函格式中的顺序制作，并请编制目录。由于编排混乱导致响应文件被误读或查找不到，责任由供应商承担。</w:t>
      </w:r>
    </w:p>
    <w:p w14:paraId="2FE6E8A1">
      <w:pPr>
        <w:spacing w:line="360" w:lineRule="auto"/>
        <w:ind w:firstLine="360" w:firstLineChars="150"/>
        <w:rPr>
          <w:rFonts w:hint="eastAsia" w:ascii="宋体" w:hAnsi="宋体" w:cs="宋体"/>
          <w:sz w:val="24"/>
        </w:rPr>
      </w:pPr>
      <w:r>
        <w:rPr>
          <w:rFonts w:hint="eastAsia" w:ascii="宋体" w:hAnsi="宋体" w:cs="宋体"/>
          <w:sz w:val="24"/>
        </w:rPr>
        <w:t>6．响应文件份数为正本一份，副本三份，须各自装订成册，并注明“正本”、“副本”字样，密封，同时注明供应商名称。</w:t>
      </w:r>
    </w:p>
    <w:p w14:paraId="30F74F76">
      <w:pPr>
        <w:spacing w:line="360" w:lineRule="auto"/>
        <w:ind w:firstLine="360" w:firstLineChars="150"/>
        <w:rPr>
          <w:rFonts w:hint="eastAsia" w:ascii="宋体" w:hAnsi="宋体" w:cs="宋体"/>
          <w:sz w:val="24"/>
        </w:rPr>
      </w:pPr>
      <w:r>
        <w:rPr>
          <w:rFonts w:hint="eastAsia" w:ascii="宋体" w:hAnsi="宋体" w:cs="宋体"/>
          <w:sz w:val="24"/>
        </w:rPr>
        <w:t>7．响应文件不应有涂改、增删和潦草之处，如有必须修改时，修改处必须有法人章、法定代表人或法定代表人授权代表的签字。</w:t>
      </w:r>
    </w:p>
    <w:p w14:paraId="1D2487C2">
      <w:pPr>
        <w:pStyle w:val="4"/>
      </w:pPr>
      <w:bookmarkStart w:id="24" w:name="_Toc16164349"/>
      <w:bookmarkStart w:id="25" w:name="_Toc16248779"/>
      <w:r>
        <w:rPr>
          <w:rFonts w:hint="eastAsia"/>
        </w:rPr>
        <w:t>九、报价要求</w:t>
      </w:r>
      <w:bookmarkEnd w:id="24"/>
      <w:bookmarkEnd w:id="25"/>
    </w:p>
    <w:p w14:paraId="55A7341F">
      <w:pPr>
        <w:spacing w:line="360" w:lineRule="auto"/>
        <w:ind w:firstLine="360" w:firstLineChars="150"/>
        <w:rPr>
          <w:rFonts w:hint="eastAsia" w:ascii="宋体" w:hAnsi="宋体" w:cs="宋体"/>
          <w:sz w:val="24"/>
        </w:rPr>
      </w:pPr>
      <w:r>
        <w:rPr>
          <w:rFonts w:hint="eastAsia" w:ascii="宋体" w:hAnsi="宋体" w:cs="宋体"/>
          <w:sz w:val="24"/>
        </w:rPr>
        <w:t>（1）报价系固定总价，即所报价款应完成采购文件所确定的采购范围内的全部内容，包括但不限于：服务费、人工费、交通食宿费、税费、与第三方沟通成本费用、信息及资料等获取及使用费、申报费、检测费、编制费、会议费等。</w:t>
      </w:r>
    </w:p>
    <w:p w14:paraId="46864AD0">
      <w:pPr>
        <w:spacing w:line="360" w:lineRule="auto"/>
        <w:ind w:firstLine="360" w:firstLineChars="150"/>
        <w:rPr>
          <w:rFonts w:hint="eastAsia" w:ascii="宋体" w:hAnsi="宋体" w:cs="宋体"/>
          <w:sz w:val="24"/>
        </w:rPr>
      </w:pPr>
      <w:r>
        <w:rPr>
          <w:rFonts w:hint="eastAsia" w:ascii="宋体" w:hAnsi="宋体" w:cs="宋体"/>
          <w:sz w:val="24"/>
        </w:rPr>
        <w:t>（2）报价的方式：报总价。</w:t>
      </w:r>
    </w:p>
    <w:p w14:paraId="566A3A7D">
      <w:pPr>
        <w:pStyle w:val="4"/>
      </w:pPr>
      <w:bookmarkStart w:id="26" w:name="_Toc16164350"/>
      <w:bookmarkStart w:id="27" w:name="_Toc16248780"/>
      <w:r>
        <w:rPr>
          <w:rFonts w:hint="eastAsia"/>
        </w:rPr>
        <w:t>十、</w:t>
      </w:r>
      <w:r>
        <w:rPr>
          <w:rFonts w:hint="eastAsia"/>
          <w:lang w:val="en-US"/>
        </w:rPr>
        <w:t>响应</w:t>
      </w:r>
      <w:r>
        <w:rPr>
          <w:rFonts w:hint="eastAsia"/>
        </w:rPr>
        <w:t>文件的补充、修改与撤回</w:t>
      </w:r>
      <w:bookmarkEnd w:id="26"/>
      <w:bookmarkEnd w:id="27"/>
    </w:p>
    <w:p w14:paraId="4341F6AA">
      <w:pPr>
        <w:spacing w:line="360" w:lineRule="auto"/>
        <w:ind w:firstLine="360" w:firstLineChars="150"/>
        <w:rPr>
          <w:rFonts w:hint="eastAsia" w:ascii="宋体" w:hAnsi="宋体" w:cs="宋体"/>
          <w:sz w:val="24"/>
        </w:rPr>
      </w:pPr>
      <w:r>
        <w:rPr>
          <w:rFonts w:hint="eastAsia" w:ascii="宋体" w:hAnsi="宋体" w:cs="宋体"/>
          <w:sz w:val="24"/>
        </w:rPr>
        <w:t>响应文件接收截止前，供应商可以补充、修改或撤回已提交的响应文件。补充、修改的内容须按照本采购文件规定进行编制、密封，在封袋上标明“补充”、“修改"等字样，在响应文件接收截止时间前，送至响应文件接收地点作为响应文件的组成部分，撤回的响应文件不得再投。响应文件接收截止时间以后，在报价有效期内，供应商不得撤回响应文件。</w:t>
      </w:r>
    </w:p>
    <w:p w14:paraId="18280862">
      <w:pPr>
        <w:pStyle w:val="4"/>
        <w:rPr>
          <w:lang w:val="en-US"/>
        </w:rPr>
      </w:pPr>
      <w:r>
        <w:rPr>
          <w:rFonts w:hint="eastAsia"/>
        </w:rPr>
        <w:t>十一、报价有效期为响应文件接收之日起6</w:t>
      </w:r>
      <w:r>
        <w:rPr>
          <w:rFonts w:hint="eastAsia"/>
          <w:u w:val="single"/>
        </w:rPr>
        <w:t>0</w:t>
      </w:r>
      <w:r>
        <w:rPr>
          <w:rFonts w:hint="eastAsia"/>
        </w:rPr>
        <w:t>天</w:t>
      </w:r>
    </w:p>
    <w:p w14:paraId="24561BE5">
      <w:pPr>
        <w:pStyle w:val="4"/>
      </w:pPr>
      <w:bookmarkStart w:id="28" w:name="_Toc16248781"/>
      <w:bookmarkStart w:id="29" w:name="_Toc16164351"/>
      <w:r>
        <w:rPr>
          <w:rFonts w:hint="eastAsia"/>
        </w:rPr>
        <w:t>十二、无效</w:t>
      </w:r>
      <w:r>
        <w:rPr>
          <w:rFonts w:hint="eastAsia"/>
          <w:lang w:val="en-US"/>
        </w:rPr>
        <w:t>响应</w:t>
      </w:r>
      <w:r>
        <w:rPr>
          <w:rFonts w:hint="eastAsia"/>
        </w:rPr>
        <w:t>文件的情形</w:t>
      </w:r>
      <w:bookmarkEnd w:id="28"/>
      <w:bookmarkEnd w:id="29"/>
    </w:p>
    <w:p w14:paraId="44A0D79D">
      <w:pPr>
        <w:spacing w:line="360" w:lineRule="auto"/>
        <w:ind w:firstLine="360" w:firstLineChars="150"/>
        <w:rPr>
          <w:rFonts w:hint="eastAsia" w:ascii="宋体" w:hAnsi="宋体" w:cs="宋体"/>
          <w:sz w:val="24"/>
        </w:rPr>
      </w:pPr>
      <w:r>
        <w:rPr>
          <w:rFonts w:hint="eastAsia" w:ascii="宋体" w:hAnsi="宋体" w:cs="宋体"/>
          <w:sz w:val="24"/>
        </w:rPr>
        <w:t>（1）响应文件未按要求密封、签署、盖章的；</w:t>
      </w:r>
    </w:p>
    <w:p w14:paraId="48825FDA">
      <w:pPr>
        <w:spacing w:line="360" w:lineRule="auto"/>
        <w:ind w:firstLine="360" w:firstLineChars="150"/>
        <w:rPr>
          <w:rFonts w:hint="eastAsia" w:ascii="宋体" w:hAnsi="宋体" w:cs="宋体"/>
          <w:sz w:val="24"/>
        </w:rPr>
      </w:pPr>
      <w:r>
        <w:rPr>
          <w:rFonts w:hint="eastAsia" w:ascii="宋体" w:hAnsi="宋体" w:cs="宋体"/>
          <w:sz w:val="24"/>
        </w:rPr>
        <w:t xml:space="preserve">（2）未按采购文件规定的格式填写，内容不全或书写潦草、字迹模糊不清、无法辨认的； </w:t>
      </w:r>
    </w:p>
    <w:p w14:paraId="031F1754">
      <w:pPr>
        <w:spacing w:line="360" w:lineRule="auto"/>
        <w:ind w:firstLine="360" w:firstLineChars="150"/>
        <w:rPr>
          <w:rFonts w:hint="eastAsia" w:ascii="宋体" w:hAnsi="宋体" w:cs="宋体"/>
          <w:sz w:val="24"/>
        </w:rPr>
      </w:pPr>
      <w:r>
        <w:rPr>
          <w:rFonts w:hint="eastAsia" w:ascii="宋体" w:hAnsi="宋体" w:cs="宋体"/>
          <w:sz w:val="24"/>
        </w:rPr>
        <w:t>（3）供应商递交两份或多份内容不同的响应文件，或在一份响应文件中对同一采购项目报有两个或多个报价，且未声明哪一个有效，按采购文件规定提交备选报价方案的除外；</w:t>
      </w:r>
    </w:p>
    <w:p w14:paraId="1E7257AE">
      <w:pPr>
        <w:spacing w:line="360" w:lineRule="auto"/>
        <w:ind w:firstLine="360" w:firstLineChars="150"/>
        <w:rPr>
          <w:rFonts w:hint="eastAsia" w:ascii="宋体" w:hAnsi="宋体" w:cs="宋体"/>
          <w:sz w:val="24"/>
        </w:rPr>
      </w:pPr>
      <w:r>
        <w:rPr>
          <w:rFonts w:hint="eastAsia" w:ascii="宋体" w:hAnsi="宋体" w:cs="宋体"/>
          <w:sz w:val="24"/>
        </w:rPr>
        <w:t>（4）供应商</w:t>
      </w:r>
      <w:r>
        <w:rPr>
          <w:rFonts w:hint="eastAsia"/>
        </w:rPr>
        <w:t>.不</w:t>
      </w:r>
      <w:r>
        <w:rPr>
          <w:rFonts w:hint="eastAsia" w:ascii="宋体" w:hAnsi="宋体" w:cs="宋体"/>
          <w:sz w:val="24"/>
        </w:rPr>
        <w:t>具备采购文件中规定的资格要求及未按采购文件规定的要求提供资格证明文件的；</w:t>
      </w:r>
    </w:p>
    <w:p w14:paraId="16462559">
      <w:pPr>
        <w:spacing w:line="360" w:lineRule="auto"/>
        <w:ind w:firstLine="360" w:firstLineChars="150"/>
        <w:rPr>
          <w:rFonts w:hint="eastAsia" w:ascii="宋体" w:hAnsi="宋体" w:cs="宋体"/>
          <w:sz w:val="24"/>
        </w:rPr>
      </w:pPr>
      <w:r>
        <w:rPr>
          <w:rFonts w:hint="eastAsia" w:ascii="宋体" w:hAnsi="宋体" w:cs="宋体"/>
          <w:sz w:val="24"/>
        </w:rPr>
        <w:t xml:space="preserve">（5）响应文件载明的采购项目完成期限超过采购文件规定的期限； </w:t>
      </w:r>
    </w:p>
    <w:p w14:paraId="3FD83BE5">
      <w:pPr>
        <w:spacing w:line="360" w:lineRule="auto"/>
        <w:ind w:firstLine="360" w:firstLineChars="150"/>
        <w:rPr>
          <w:rFonts w:hint="eastAsia" w:ascii="宋体" w:hAnsi="宋体" w:cs="宋体"/>
          <w:sz w:val="24"/>
        </w:rPr>
      </w:pPr>
      <w:r>
        <w:rPr>
          <w:rFonts w:hint="eastAsia" w:ascii="宋体" w:hAnsi="宋体" w:cs="宋体"/>
          <w:sz w:val="24"/>
        </w:rPr>
        <w:t xml:space="preserve">（6）明显不符合技术规范、技术标准的要求； </w:t>
      </w:r>
    </w:p>
    <w:p w14:paraId="04442767">
      <w:pPr>
        <w:spacing w:line="360" w:lineRule="auto"/>
        <w:ind w:firstLine="360" w:firstLineChars="150"/>
        <w:rPr>
          <w:rFonts w:hint="eastAsia" w:ascii="宋体" w:hAnsi="宋体" w:cs="宋体"/>
          <w:sz w:val="24"/>
        </w:rPr>
      </w:pPr>
      <w:r>
        <w:rPr>
          <w:rFonts w:hint="eastAsia" w:ascii="宋体" w:hAnsi="宋体" w:cs="宋体"/>
          <w:sz w:val="24"/>
        </w:rPr>
        <w:t>（7）报价超过采购文件规定的最高限价的；</w:t>
      </w:r>
    </w:p>
    <w:p w14:paraId="184BF289">
      <w:pPr>
        <w:spacing w:line="360" w:lineRule="auto"/>
        <w:ind w:firstLine="360" w:firstLineChars="150"/>
        <w:rPr>
          <w:rFonts w:hint="eastAsia" w:ascii="宋体" w:hAnsi="宋体" w:cs="宋体"/>
          <w:sz w:val="24"/>
        </w:rPr>
      </w:pPr>
      <w:r>
        <w:rPr>
          <w:rFonts w:hint="eastAsia" w:ascii="宋体" w:hAnsi="宋体" w:cs="宋体"/>
          <w:sz w:val="24"/>
        </w:rPr>
        <w:t>（8）不同供应商的响应文件异常一致或者报价呈规律性差异的；</w:t>
      </w:r>
    </w:p>
    <w:p w14:paraId="2311AC67">
      <w:pPr>
        <w:spacing w:line="360" w:lineRule="auto"/>
        <w:ind w:firstLine="360" w:firstLineChars="150"/>
        <w:rPr>
          <w:rFonts w:hint="eastAsia" w:ascii="宋体" w:hAnsi="宋体" w:cs="宋体"/>
          <w:sz w:val="24"/>
        </w:rPr>
      </w:pPr>
      <w:r>
        <w:rPr>
          <w:rFonts w:hint="eastAsia" w:ascii="宋体" w:hAnsi="宋体" w:cs="宋体"/>
          <w:sz w:val="24"/>
        </w:rPr>
        <w:t>（9）改变采购文件规定的暂定价格或不可竞争费用的；</w:t>
      </w:r>
    </w:p>
    <w:p w14:paraId="08BFBFEE">
      <w:pPr>
        <w:spacing w:line="360" w:lineRule="auto"/>
        <w:ind w:firstLine="360" w:firstLineChars="150"/>
        <w:rPr>
          <w:rFonts w:hint="eastAsia" w:ascii="宋体" w:hAnsi="宋体" w:cs="宋体"/>
          <w:sz w:val="24"/>
        </w:rPr>
      </w:pPr>
      <w:r>
        <w:rPr>
          <w:rFonts w:hint="eastAsia" w:ascii="宋体" w:hAnsi="宋体" w:cs="宋体"/>
          <w:sz w:val="24"/>
        </w:rPr>
        <w:t>（10）响应文件提出了不能满足采购文件要求或采购人不能接受的项目评审、价款结算支付办法；</w:t>
      </w:r>
    </w:p>
    <w:p w14:paraId="549FBA5B">
      <w:pPr>
        <w:spacing w:line="360" w:lineRule="auto"/>
        <w:ind w:firstLine="360" w:firstLineChars="150"/>
        <w:rPr>
          <w:rFonts w:hint="eastAsia" w:ascii="宋体" w:hAnsi="宋体" w:cs="宋体"/>
          <w:sz w:val="24"/>
        </w:rPr>
      </w:pPr>
      <w:r>
        <w:rPr>
          <w:rFonts w:hint="eastAsia" w:ascii="宋体" w:hAnsi="宋体" w:cs="宋体"/>
          <w:sz w:val="24"/>
        </w:rPr>
        <w:t>（11）以他人的名义报价、串通报价、以行贿手段谋取报价或者以其他弄虚作假方式报价的；</w:t>
      </w:r>
    </w:p>
    <w:p w14:paraId="281D79E6">
      <w:pPr>
        <w:spacing w:line="360" w:lineRule="auto"/>
        <w:ind w:firstLine="360" w:firstLineChars="150"/>
        <w:rPr>
          <w:rFonts w:hint="eastAsia" w:ascii="宋体" w:hAnsi="宋体" w:cs="宋体"/>
          <w:sz w:val="24"/>
        </w:rPr>
      </w:pPr>
      <w:r>
        <w:rPr>
          <w:rFonts w:hint="eastAsia" w:ascii="宋体" w:hAnsi="宋体" w:cs="宋体"/>
          <w:sz w:val="24"/>
        </w:rPr>
        <w:t>（12）经谈判小组认定供应商的报价低于成本价的。</w:t>
      </w:r>
    </w:p>
    <w:p w14:paraId="2A0FA9BD">
      <w:pPr>
        <w:spacing w:line="360" w:lineRule="auto"/>
        <w:ind w:firstLine="360" w:firstLineChars="150"/>
        <w:rPr>
          <w:rFonts w:hint="eastAsia" w:ascii="宋体" w:hAnsi="宋体" w:cs="宋体"/>
          <w:sz w:val="24"/>
        </w:rPr>
      </w:pPr>
      <w:r>
        <w:rPr>
          <w:rFonts w:hint="eastAsia" w:ascii="宋体" w:hAnsi="宋体" w:cs="宋体"/>
          <w:sz w:val="24"/>
        </w:rPr>
        <w:t>（13）不同供应商的单位负责人为同一人或存在直接控股、管理关系。</w:t>
      </w:r>
    </w:p>
    <w:p w14:paraId="33F67635">
      <w:pPr>
        <w:spacing w:line="360" w:lineRule="auto"/>
        <w:ind w:firstLine="360" w:firstLineChars="150"/>
        <w:rPr>
          <w:rFonts w:hint="eastAsia" w:ascii="宋体" w:hAnsi="宋体" w:cs="宋体"/>
          <w:sz w:val="24"/>
        </w:rPr>
      </w:pPr>
      <w:r>
        <w:rPr>
          <w:rFonts w:hint="eastAsia" w:ascii="宋体" w:hAnsi="宋体" w:cs="宋体"/>
          <w:sz w:val="24"/>
        </w:rPr>
        <w:t>（14）响应文件内容不全或不符合法律法规和采购文件中规定的其它实质性要求的。</w:t>
      </w:r>
    </w:p>
    <w:p w14:paraId="4982FE78">
      <w:pPr>
        <w:pStyle w:val="4"/>
      </w:pPr>
      <w:bookmarkStart w:id="30" w:name="_Toc16164352"/>
      <w:bookmarkStart w:id="31" w:name="_Toc16248782"/>
      <w:r>
        <w:rPr>
          <w:rFonts w:hint="eastAsia"/>
        </w:rPr>
        <w:t>十三、谈判、评审</w:t>
      </w:r>
      <w:bookmarkEnd w:id="30"/>
      <w:bookmarkEnd w:id="31"/>
    </w:p>
    <w:p w14:paraId="5FDC1D9E">
      <w:pPr>
        <w:spacing w:line="360" w:lineRule="auto"/>
        <w:ind w:firstLine="360" w:firstLineChars="150"/>
        <w:rPr>
          <w:rFonts w:hint="eastAsia" w:ascii="宋体" w:hAnsi="宋体" w:cs="宋体"/>
          <w:sz w:val="24"/>
        </w:rPr>
      </w:pPr>
      <w:r>
        <w:rPr>
          <w:rFonts w:hint="eastAsia" w:ascii="宋体" w:hAnsi="宋体" w:cs="宋体"/>
          <w:sz w:val="24"/>
        </w:rPr>
        <w:t>谈判、评审工作由无锡市生态环境局负责组织。</w:t>
      </w:r>
    </w:p>
    <w:p w14:paraId="03AEEF44">
      <w:pPr>
        <w:spacing w:line="360" w:lineRule="auto"/>
        <w:ind w:firstLine="360" w:firstLineChars="150"/>
        <w:rPr>
          <w:rFonts w:hint="eastAsia" w:ascii="宋体" w:hAnsi="宋体" w:cs="宋体"/>
          <w:sz w:val="24"/>
        </w:rPr>
      </w:pPr>
      <w:r>
        <w:rPr>
          <w:rFonts w:hint="eastAsia" w:ascii="宋体" w:hAnsi="宋体" w:cs="宋体"/>
          <w:sz w:val="24"/>
        </w:rPr>
        <w:t>具体谈判、评审事务由依法组建的谈判小组负责。</w:t>
      </w:r>
    </w:p>
    <w:p w14:paraId="66DDD712">
      <w:pPr>
        <w:spacing w:line="360" w:lineRule="auto"/>
        <w:ind w:firstLine="360" w:firstLineChars="150"/>
        <w:rPr>
          <w:rFonts w:hint="eastAsia" w:ascii="宋体" w:hAnsi="宋体" w:cs="宋体"/>
          <w:sz w:val="24"/>
        </w:rPr>
      </w:pPr>
      <w:r>
        <w:rPr>
          <w:rFonts w:hint="eastAsia" w:ascii="宋体" w:hAnsi="宋体" w:cs="宋体"/>
          <w:sz w:val="24"/>
        </w:rPr>
        <w:t>1．响应文件的审查</w:t>
      </w:r>
    </w:p>
    <w:p w14:paraId="2EDB8FEA">
      <w:pPr>
        <w:spacing w:line="360" w:lineRule="auto"/>
        <w:ind w:firstLine="360" w:firstLineChars="150"/>
        <w:rPr>
          <w:rFonts w:hint="eastAsia" w:ascii="宋体" w:hAnsi="宋体" w:cs="宋体"/>
          <w:sz w:val="24"/>
        </w:rPr>
      </w:pPr>
      <w:r>
        <w:rPr>
          <w:rFonts w:hint="eastAsia" w:ascii="宋体" w:hAnsi="宋体" w:cs="宋体"/>
          <w:sz w:val="24"/>
        </w:rPr>
        <w:t>（1）报价一览表内容与明细表内容不一致的，以报价一览表为准。</w:t>
      </w:r>
    </w:p>
    <w:p w14:paraId="73B8644C">
      <w:pPr>
        <w:spacing w:line="360" w:lineRule="auto"/>
        <w:ind w:firstLine="360" w:firstLineChars="150"/>
        <w:rPr>
          <w:rFonts w:hint="eastAsia" w:ascii="宋体" w:hAnsi="宋体" w:cs="宋体"/>
          <w:sz w:val="24"/>
        </w:rPr>
      </w:pPr>
      <w:r>
        <w:rPr>
          <w:rFonts w:hint="eastAsia" w:ascii="宋体" w:hAnsi="宋体" w:cs="宋体"/>
          <w:sz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10B69385">
      <w:pPr>
        <w:spacing w:line="360" w:lineRule="auto"/>
        <w:ind w:firstLine="360" w:firstLineChars="150"/>
        <w:rPr>
          <w:rFonts w:hint="eastAsia" w:ascii="宋体" w:hAnsi="宋体" w:cs="宋体"/>
          <w:sz w:val="24"/>
        </w:rPr>
      </w:pPr>
      <w:r>
        <w:rPr>
          <w:rFonts w:hint="eastAsia" w:ascii="宋体" w:hAnsi="宋体" w:cs="宋体"/>
          <w:sz w:val="24"/>
        </w:rPr>
        <w:t>（2）正本与副本不符，以正本为准。</w:t>
      </w:r>
    </w:p>
    <w:p w14:paraId="7AF44932">
      <w:pPr>
        <w:spacing w:line="360" w:lineRule="auto"/>
        <w:ind w:firstLine="360" w:firstLineChars="150"/>
        <w:rPr>
          <w:rFonts w:hint="eastAsia" w:ascii="宋体" w:hAnsi="宋体" w:cs="宋体"/>
          <w:sz w:val="24"/>
        </w:rPr>
      </w:pPr>
      <w:r>
        <w:rPr>
          <w:rFonts w:hint="eastAsia" w:ascii="宋体" w:hAnsi="宋体" w:cs="宋体"/>
          <w:sz w:val="24"/>
        </w:rPr>
        <w:t>2．谈判、评审程序</w:t>
      </w:r>
    </w:p>
    <w:p w14:paraId="33972C29">
      <w:pPr>
        <w:spacing w:line="360" w:lineRule="auto"/>
        <w:ind w:firstLine="360" w:firstLineChars="150"/>
        <w:rPr>
          <w:rFonts w:hint="eastAsia" w:ascii="宋体" w:hAnsi="宋体" w:cs="宋体"/>
          <w:sz w:val="24"/>
        </w:rPr>
      </w:pPr>
      <w:r>
        <w:rPr>
          <w:rFonts w:hint="eastAsia" w:ascii="宋体" w:hAnsi="宋体" w:cs="宋体"/>
          <w:sz w:val="24"/>
        </w:rPr>
        <w:t>（1）响应文件初审。初审分为资格性检查和符合性检查。</w:t>
      </w:r>
    </w:p>
    <w:p w14:paraId="63AB21B9">
      <w:pPr>
        <w:spacing w:line="360" w:lineRule="auto"/>
        <w:ind w:firstLine="360" w:firstLineChars="150"/>
        <w:rPr>
          <w:rFonts w:hint="eastAsia" w:ascii="宋体" w:hAnsi="宋体" w:cs="宋体"/>
          <w:sz w:val="24"/>
        </w:rPr>
      </w:pPr>
      <w:r>
        <w:rPr>
          <w:rFonts w:hint="eastAsia" w:ascii="宋体" w:hAnsi="宋体" w:cs="宋体"/>
          <w:sz w:val="24"/>
        </w:rPr>
        <w:t>A.资格性检查。依据法律法规和采购文件的规定，对响应文件中的资格证明等进行审查，以确定报价供应商是否具备报价资格。</w:t>
      </w:r>
    </w:p>
    <w:p w14:paraId="459D693A">
      <w:pPr>
        <w:spacing w:line="360" w:lineRule="auto"/>
        <w:ind w:firstLine="360" w:firstLineChars="150"/>
        <w:rPr>
          <w:rFonts w:hint="eastAsia" w:ascii="宋体" w:hAnsi="宋体" w:cs="宋体"/>
          <w:sz w:val="24"/>
        </w:rPr>
      </w:pPr>
      <w:r>
        <w:rPr>
          <w:rFonts w:hint="eastAsia" w:ascii="宋体" w:hAnsi="宋体" w:cs="宋体"/>
          <w:sz w:val="24"/>
        </w:rPr>
        <w:t>B.符合性检查。依据采购文件的规定，从响应文件的有效性、完整性和对采购文件的响应程度进行审查，以确定是否对采购文件的实质性要求做出响应。</w:t>
      </w:r>
    </w:p>
    <w:p w14:paraId="39441ED6">
      <w:pPr>
        <w:spacing w:line="360" w:lineRule="auto"/>
        <w:ind w:firstLine="360" w:firstLineChars="150"/>
        <w:rPr>
          <w:rFonts w:hint="eastAsia" w:ascii="宋体" w:hAnsi="宋体" w:cs="宋体"/>
          <w:sz w:val="24"/>
        </w:rPr>
      </w:pPr>
      <w:r>
        <w:rPr>
          <w:rFonts w:hint="eastAsia" w:ascii="宋体" w:hAnsi="宋体" w:cs="宋体"/>
          <w:sz w:val="24"/>
        </w:rPr>
        <w:t>（2）澄清有关问题。对响应文件中含义不明确、同类问题表述不一致或者有明显文字和计算错误的内容，谈判小组可以书面形式（应当由谈判小组专家签字）要求供应商做出必要的澄清、说明或者纠正。供应商的澄清、说明或者补正应当采用书面形式，由其授权的代表签字。</w:t>
      </w:r>
    </w:p>
    <w:p w14:paraId="2FD8323C">
      <w:pPr>
        <w:spacing w:line="360" w:lineRule="auto"/>
        <w:ind w:firstLine="360" w:firstLineChars="150"/>
        <w:rPr>
          <w:rFonts w:hint="eastAsia" w:ascii="宋体" w:hAnsi="宋体" w:cs="宋体"/>
          <w:sz w:val="24"/>
        </w:rPr>
      </w:pPr>
      <w:r>
        <w:rPr>
          <w:rFonts w:hint="eastAsia" w:ascii="宋体" w:hAnsi="宋体" w:cs="宋体"/>
          <w:sz w:val="24"/>
        </w:rPr>
        <w:t>（3）谈判小组讨论、确定谈判程序和谈判内容。</w:t>
      </w:r>
    </w:p>
    <w:p w14:paraId="33D6A907">
      <w:pPr>
        <w:spacing w:line="360" w:lineRule="auto"/>
        <w:ind w:firstLine="360" w:firstLineChars="150"/>
        <w:rPr>
          <w:rFonts w:hint="eastAsia" w:ascii="宋体" w:hAnsi="宋体" w:cs="宋体"/>
          <w:sz w:val="24"/>
        </w:rPr>
      </w:pPr>
      <w:r>
        <w:rPr>
          <w:rFonts w:hint="eastAsia" w:ascii="宋体" w:hAnsi="宋体" w:cs="宋体"/>
          <w:sz w:val="24"/>
        </w:rPr>
        <w:t>（4）谈判小组集中与单一供应商分别进行谈判。谈判轮次由谈判小组视情况决定。</w:t>
      </w:r>
    </w:p>
    <w:p w14:paraId="52BEFA3A">
      <w:pPr>
        <w:pStyle w:val="4"/>
      </w:pPr>
      <w:bookmarkStart w:id="32" w:name="_Toc16248783"/>
      <w:bookmarkStart w:id="33" w:name="_Toc16164353"/>
      <w:r>
        <w:rPr>
          <w:rFonts w:hint="eastAsia"/>
        </w:rPr>
        <w:t>十四、签订合同</w:t>
      </w:r>
      <w:bookmarkEnd w:id="32"/>
      <w:bookmarkEnd w:id="33"/>
    </w:p>
    <w:p w14:paraId="5AC6D874">
      <w:pPr>
        <w:spacing w:line="360" w:lineRule="auto"/>
        <w:ind w:firstLine="360" w:firstLineChars="150"/>
        <w:rPr>
          <w:rFonts w:hint="eastAsia" w:ascii="宋体" w:hAnsi="宋体" w:cs="宋体"/>
          <w:sz w:val="24"/>
        </w:rPr>
      </w:pPr>
      <w:r>
        <w:rPr>
          <w:rFonts w:hint="eastAsia" w:ascii="宋体" w:hAnsi="宋体" w:cs="宋体"/>
          <w:sz w:val="24"/>
        </w:rPr>
        <w:t>（1）确定成交人：采购人将评审结果通知所有参加谈判的未成交供应商，并在采购人网站上发布成交公告。采购人和谈判小组对未成交原因不作解释。如有质疑，应在法定质疑期限内，即成交公告发布之日起7个工作日内，以书面形式送达采购人。质疑函应当列明具体的质疑事项及事实根据，认为自己合法权益受到损害或可能受到损害的相关证据材料以及质疑供应商的名称、地址、邮编、联系人、联系电话、日期，同时该质疑函应由供应商法定代表人签字并加盖单位公章（原件）。采购人将在收到符合上述要求的书面质疑后七个工作日内，对质疑内容作出答复。供应商在法定质疑期限外送达的质疑函或法定质疑期限内送达的质疑函不符合上述要求的均为无效质疑，采购人对无效质疑不予受理。</w:t>
      </w:r>
    </w:p>
    <w:p w14:paraId="76AC7937">
      <w:pPr>
        <w:spacing w:line="360" w:lineRule="auto"/>
        <w:ind w:firstLine="360" w:firstLineChars="150"/>
        <w:rPr>
          <w:rFonts w:hint="eastAsia" w:ascii="宋体" w:hAnsi="宋体" w:cs="宋体"/>
          <w:sz w:val="24"/>
        </w:rPr>
      </w:pPr>
      <w:r>
        <w:rPr>
          <w:rFonts w:hint="eastAsia" w:ascii="宋体" w:hAnsi="宋体" w:cs="宋体"/>
          <w:sz w:val="24"/>
        </w:rPr>
        <w:t>（2）采购人和成交人应当自成交通知书发出之日起</w:t>
      </w:r>
      <w:r>
        <w:rPr>
          <w:rFonts w:hint="eastAsia" w:ascii="宋体" w:hAnsi="宋体" w:cs="宋体"/>
          <w:sz w:val="24"/>
          <w:u w:val="single"/>
        </w:rPr>
        <w:t>30</w:t>
      </w:r>
      <w:r>
        <w:rPr>
          <w:rFonts w:hint="eastAsia" w:ascii="宋体" w:hAnsi="宋体" w:cs="宋体"/>
          <w:sz w:val="24"/>
        </w:rPr>
        <w:t>日内，按采购文件和成交人的响应文件订立书面合同。</w:t>
      </w:r>
    </w:p>
    <w:p w14:paraId="22046337">
      <w:pPr>
        <w:pStyle w:val="4"/>
      </w:pPr>
      <w:bookmarkStart w:id="34" w:name="_Toc16248784"/>
      <w:bookmarkStart w:id="35" w:name="_Toc16164354"/>
      <w:r>
        <w:rPr>
          <w:rFonts w:hint="eastAsia"/>
        </w:rPr>
        <w:t>十五、其它</w:t>
      </w:r>
      <w:bookmarkEnd w:id="34"/>
      <w:bookmarkEnd w:id="35"/>
    </w:p>
    <w:p w14:paraId="18790B2F">
      <w:pPr>
        <w:spacing w:line="360" w:lineRule="auto"/>
        <w:ind w:firstLine="360" w:firstLineChars="150"/>
        <w:rPr>
          <w:rFonts w:hint="eastAsia" w:ascii="宋体" w:hAnsi="宋体" w:cs="宋体"/>
          <w:sz w:val="24"/>
        </w:rPr>
      </w:pPr>
      <w:r>
        <w:rPr>
          <w:rFonts w:hint="eastAsia" w:ascii="宋体" w:hAnsi="宋体" w:cs="宋体"/>
          <w:sz w:val="24"/>
        </w:rPr>
        <w:t>本采购文件未尽事宜，按照采购有关法律、法规规定办理，本采购文件由该项目采购人负责解释。</w:t>
      </w:r>
    </w:p>
    <w:p w14:paraId="63124E24">
      <w:pPr>
        <w:pStyle w:val="4"/>
      </w:pPr>
      <w:bookmarkStart w:id="36" w:name="_Toc16164355"/>
      <w:bookmarkStart w:id="37" w:name="_Toc16248785"/>
      <w:r>
        <w:rPr>
          <w:rFonts w:hint="eastAsia"/>
        </w:rPr>
        <w:t>十六、本次采购联系事项</w:t>
      </w:r>
      <w:bookmarkEnd w:id="36"/>
      <w:bookmarkEnd w:id="37"/>
    </w:p>
    <w:p w14:paraId="52C52982">
      <w:pPr>
        <w:spacing w:line="360" w:lineRule="auto"/>
        <w:ind w:firstLine="360" w:firstLineChars="150"/>
        <w:rPr>
          <w:rFonts w:hint="eastAsia" w:ascii="宋体" w:hAnsi="宋体" w:cs="宋体"/>
          <w:sz w:val="24"/>
        </w:rPr>
      </w:pPr>
      <w:r>
        <w:rPr>
          <w:rFonts w:hint="eastAsia" w:ascii="宋体" w:hAnsi="宋体" w:cs="宋体"/>
          <w:sz w:val="24"/>
        </w:rPr>
        <w:t>联系人：高倩</w:t>
      </w:r>
    </w:p>
    <w:p w14:paraId="6B07BC8E">
      <w:pPr>
        <w:spacing w:line="360" w:lineRule="auto"/>
        <w:ind w:firstLine="360" w:firstLineChars="150"/>
        <w:rPr>
          <w:rFonts w:hint="eastAsia" w:ascii="宋体" w:hAnsi="宋体" w:cs="宋体"/>
          <w:sz w:val="24"/>
        </w:rPr>
      </w:pPr>
      <w:r>
        <w:rPr>
          <w:rFonts w:hint="eastAsia" w:ascii="宋体" w:hAnsi="宋体" w:cs="宋体"/>
          <w:sz w:val="24"/>
        </w:rPr>
        <w:t>联系电话：0510-8187129      传真：0510-81827232</w:t>
      </w:r>
    </w:p>
    <w:p w14:paraId="53B8D774">
      <w:pPr>
        <w:spacing w:line="360" w:lineRule="auto"/>
        <w:ind w:firstLine="360" w:firstLineChars="150"/>
        <w:rPr>
          <w:rFonts w:hint="eastAsia" w:ascii="宋体" w:hAnsi="宋体" w:cs="宋体"/>
          <w:sz w:val="24"/>
        </w:rPr>
      </w:pPr>
      <w:r>
        <w:rPr>
          <w:rFonts w:hint="eastAsia" w:ascii="宋体" w:hAnsi="宋体" w:cs="宋体"/>
          <w:sz w:val="24"/>
        </w:rPr>
        <w:t>联系地址：无锡市滨湖区观山路199号市民中心11号楼</w:t>
      </w:r>
    </w:p>
    <w:p w14:paraId="37749C7D">
      <w:pPr>
        <w:spacing w:line="360" w:lineRule="auto"/>
        <w:ind w:firstLine="360" w:firstLineChars="150"/>
        <w:rPr>
          <w:rFonts w:hint="eastAsia" w:ascii="宋体" w:hAnsi="宋体" w:cs="宋体"/>
          <w:sz w:val="24"/>
        </w:rPr>
      </w:pPr>
      <w:r>
        <w:rPr>
          <w:rFonts w:hint="eastAsia" w:ascii="宋体" w:hAnsi="宋体" w:cs="宋体"/>
          <w:sz w:val="24"/>
        </w:rPr>
        <w:t>邮编：214121</w:t>
      </w:r>
    </w:p>
    <w:p w14:paraId="390D05ED">
      <w:pPr>
        <w:pStyle w:val="3"/>
      </w:pPr>
      <w:r>
        <w:rPr>
          <w:rFonts w:hAnsi="宋体"/>
        </w:rPr>
        <w:br w:type="page"/>
      </w:r>
      <w:bookmarkStart w:id="38" w:name="_Toc16248786"/>
      <w:bookmarkStart w:id="39" w:name="_Toc16164356"/>
      <w:r>
        <w:rPr>
          <w:rFonts w:hint="eastAsia"/>
        </w:rPr>
        <w:t>第三章  项目需求</w:t>
      </w:r>
      <w:bookmarkEnd w:id="38"/>
      <w:bookmarkEnd w:id="39"/>
    </w:p>
    <w:p w14:paraId="545122ED">
      <w:pPr>
        <w:pStyle w:val="4"/>
        <w:rPr>
          <w:lang w:val="en-US"/>
        </w:rPr>
      </w:pPr>
      <w:bookmarkStart w:id="40" w:name="_Toc16164357"/>
      <w:bookmarkStart w:id="41" w:name="_Toc16248787"/>
      <w:r>
        <w:rPr>
          <w:rFonts w:hint="eastAsia"/>
        </w:rPr>
        <w:t>一、项目</w:t>
      </w:r>
      <w:bookmarkEnd w:id="40"/>
      <w:bookmarkEnd w:id="41"/>
      <w:r>
        <w:rPr>
          <w:rFonts w:hint="eastAsia"/>
          <w:lang w:val="en-US"/>
        </w:rPr>
        <w:t>背景</w:t>
      </w:r>
    </w:p>
    <w:p w14:paraId="7979CBB4">
      <w:pPr>
        <w:spacing w:line="360" w:lineRule="auto"/>
        <w:ind w:firstLine="360" w:firstLineChars="150"/>
        <w:rPr>
          <w:rFonts w:hint="eastAsia" w:ascii="宋体" w:hAnsi="宋体" w:cs="宋体"/>
          <w:sz w:val="24"/>
        </w:rPr>
      </w:pPr>
      <w:bookmarkStart w:id="42" w:name="_Toc16164358"/>
      <w:bookmarkStart w:id="43" w:name="_Toc16248788"/>
      <w:r>
        <w:rPr>
          <w:rFonts w:hint="eastAsia" w:ascii="宋体" w:hAnsi="宋体" w:cs="宋体"/>
          <w:sz w:val="24"/>
        </w:rPr>
        <w:t>根据生态环境部《关于开展全国城市集中式饮用水水源环境状况评估工作的通知》（环办〔2011〕4号文件）以及省生态环境厅《关于开展全省集中式饮用水水源地环境状况评估和基础信息调查工作的通知》（苏环办〔2020〕43号文件），要求各市加强地级以上和地级以下城市集中式饮用水水源地环境保护工作，并进行饮用水水源地环境状况的调查评估。</w:t>
      </w:r>
    </w:p>
    <w:p w14:paraId="0D5F6437">
      <w:pPr>
        <w:pStyle w:val="4"/>
        <w:rPr>
          <w:lang w:val="en-US"/>
        </w:rPr>
      </w:pPr>
      <w:r>
        <w:rPr>
          <w:rFonts w:hint="eastAsia"/>
        </w:rPr>
        <w:t>二、项目</w:t>
      </w:r>
      <w:r>
        <w:rPr>
          <w:rFonts w:hint="eastAsia"/>
          <w:lang w:val="en-US"/>
        </w:rPr>
        <w:t>任务及要求</w:t>
      </w:r>
      <w:bookmarkStart w:id="44" w:name="_Toc16248789"/>
      <w:bookmarkStart w:id="45" w:name="_Toc16164359"/>
    </w:p>
    <w:p w14:paraId="72F79662">
      <w:pPr>
        <w:spacing w:line="360" w:lineRule="auto"/>
        <w:ind w:firstLine="360" w:firstLineChars="150"/>
        <w:rPr>
          <w:rFonts w:hint="eastAsia" w:ascii="宋体" w:hAnsi="宋体" w:cs="宋体"/>
          <w:sz w:val="24"/>
        </w:rPr>
      </w:pPr>
      <w:bookmarkStart w:id="46" w:name="_Hlk181456334"/>
      <w:r>
        <w:rPr>
          <w:rFonts w:hint="eastAsia" w:ascii="宋体" w:hAnsi="宋体" w:cs="宋体"/>
          <w:sz w:val="24"/>
        </w:rPr>
        <w:t>根据生态环境部《关于开展全国城市集中式饮用水水源环境状况评估工作的通知》（环办〔2011〕4号），《集中式饮用水水源地规范化建设环境保护技术要求》（HJ 773-2015）“9.3 定期开展饮用水水源地环境状况评估”，省生态环境厅《关于做好我省集中式饮用水水源地规范化建设工作的通知》（苏环办〔2024〕209号），各地要对城市水源地定期开展环境状况评估。为保障饮用水水源地安全，拟委托第三方技术单位开展</w:t>
      </w:r>
      <w:r>
        <w:rPr>
          <w:rFonts w:hint="eastAsia" w:ascii="宋体" w:hAnsi="宋体" w:cs="宋体"/>
          <w:bCs/>
          <w:sz w:val="24"/>
          <w:u w:val="single"/>
        </w:rPr>
        <w:t>2025年度无锡市集中式饮用水水源地环境状况调查评估，具体要求如下：</w:t>
      </w:r>
    </w:p>
    <w:p w14:paraId="4FCCFF0E">
      <w:pPr>
        <w:spacing w:line="360" w:lineRule="auto"/>
        <w:ind w:firstLine="360" w:firstLineChars="150"/>
        <w:rPr>
          <w:rFonts w:hint="eastAsia" w:ascii="宋体" w:hAnsi="宋体" w:cs="宋体"/>
          <w:sz w:val="24"/>
        </w:rPr>
      </w:pPr>
      <w:r>
        <w:rPr>
          <w:rFonts w:hint="eastAsia" w:ascii="宋体" w:hAnsi="宋体" w:cs="宋体"/>
          <w:sz w:val="24"/>
        </w:rPr>
        <w:t>（1）通过资料查阅、台账检查、无人机排查、卫片识别等方式，对市区3个县级以上集中式饮用水水源地开展水源地环境状况现场调查，按照《集中式饮用水水源地环境保护状况评估技术规范》（HJ774-2015）要求组织开展饮用水源地环境状况评估，识别3个市区供水集中式饮用水水源地存在的问题，分别编写形成《2025年无锡市地级以上集中式饮用水水源地环境状况评估报告（西石桥、沙渚）》、《2025年无锡市县级以上集中式饮用水水源地环境状况评估报告（锡东）》。</w:t>
      </w:r>
    </w:p>
    <w:p w14:paraId="2A1ADC44">
      <w:pPr>
        <w:spacing w:line="360" w:lineRule="auto"/>
        <w:ind w:firstLine="360" w:firstLineChars="150"/>
        <w:rPr>
          <w:rFonts w:hint="eastAsia" w:ascii="宋体" w:hAnsi="宋体" w:cs="宋体"/>
          <w:sz w:val="24"/>
        </w:rPr>
      </w:pPr>
      <w:r>
        <w:rPr>
          <w:rFonts w:hint="eastAsia" w:ascii="宋体" w:hAnsi="宋体" w:cs="宋体"/>
          <w:sz w:val="24"/>
        </w:rPr>
        <w:t>（2）对全市10个饮用水水源地环境状况档案、保护区矢量图进行动态更新，饮用水水源地矢量图符合省生态环境厅水源地矢量图的绘制要求和格式要求，水源地档案按甲方确认的要求进行动态更新。</w:t>
      </w:r>
    </w:p>
    <w:p w14:paraId="5E01C686">
      <w:pPr>
        <w:spacing w:line="360" w:lineRule="auto"/>
        <w:ind w:firstLine="360" w:firstLineChars="150"/>
        <w:rPr>
          <w:rFonts w:hint="eastAsia" w:ascii="宋体" w:hAnsi="宋体" w:cs="宋体"/>
          <w:sz w:val="24"/>
        </w:rPr>
      </w:pPr>
      <w:r>
        <w:rPr>
          <w:rFonts w:hint="eastAsia" w:ascii="宋体" w:hAnsi="宋体" w:cs="宋体"/>
          <w:sz w:val="24"/>
        </w:rPr>
        <w:t>（3）配合开展相关工作。</w:t>
      </w:r>
    </w:p>
    <w:p w14:paraId="24400DE8">
      <w:pPr>
        <w:spacing w:line="360" w:lineRule="auto"/>
        <w:rPr>
          <w:rFonts w:hint="eastAsia" w:ascii="宋体" w:hAnsi="宋体" w:cs="宋体"/>
          <w:sz w:val="24"/>
        </w:rPr>
      </w:pPr>
      <w:r>
        <w:rPr>
          <w:rFonts w:hint="eastAsia" w:ascii="宋体" w:hAnsi="宋体" w:cs="宋体"/>
          <w:sz w:val="24"/>
        </w:rPr>
        <w:t>（4）</w:t>
      </w:r>
      <w:r>
        <w:rPr>
          <w:rFonts w:hint="eastAsia" w:hAnsi="宋体" w:cs="宋体"/>
          <w:sz w:val="24"/>
        </w:rPr>
        <w:t>上述2份评估报告、水源地档案、动态更新</w:t>
      </w:r>
      <w:r>
        <w:rPr>
          <w:rFonts w:hint="eastAsia" w:ascii="宋体" w:hAnsi="宋体" w:cs="宋体"/>
          <w:sz w:val="24"/>
        </w:rPr>
        <w:t>图纸在</w:t>
      </w:r>
      <w:r>
        <w:rPr>
          <w:rFonts w:hint="eastAsia" w:hAnsi="宋体" w:cs="宋体"/>
          <w:sz w:val="24"/>
        </w:rPr>
        <w:t>约定项目完成截止日期前，保障均通过</w:t>
      </w:r>
      <w:r>
        <w:rPr>
          <w:rFonts w:hint="eastAsia" w:hAnsi="宋体"/>
          <w:sz w:val="24"/>
        </w:rPr>
        <w:t>采购方的评审验收并全部依约提交给采购人。</w:t>
      </w:r>
    </w:p>
    <w:bookmarkEnd w:id="44"/>
    <w:bookmarkEnd w:id="45"/>
    <w:bookmarkEnd w:id="46"/>
    <w:p w14:paraId="54BBCD21">
      <w:pPr>
        <w:pStyle w:val="4"/>
      </w:pPr>
      <w:bookmarkStart w:id="47" w:name="_Toc16248790"/>
      <w:bookmarkStart w:id="48" w:name="_Toc16164360"/>
      <w:r>
        <w:rPr>
          <w:rFonts w:hint="eastAsia"/>
          <w:lang w:val="en-US"/>
        </w:rPr>
        <w:t>三</w:t>
      </w:r>
      <w:r>
        <w:rPr>
          <w:rFonts w:hint="eastAsia"/>
        </w:rPr>
        <w:t>、最高限价</w:t>
      </w:r>
      <w:bookmarkEnd w:id="47"/>
      <w:bookmarkEnd w:id="48"/>
    </w:p>
    <w:p w14:paraId="14A4C4EF">
      <w:pPr>
        <w:spacing w:line="360" w:lineRule="auto"/>
        <w:ind w:firstLine="360" w:firstLineChars="150"/>
        <w:rPr>
          <w:rFonts w:hint="eastAsia" w:ascii="宋体" w:hAnsi="宋体" w:cs="宋体"/>
          <w:sz w:val="24"/>
        </w:rPr>
      </w:pPr>
      <w:r>
        <w:rPr>
          <w:rFonts w:hint="eastAsia" w:ascii="宋体" w:hAnsi="宋体" w:cs="宋体"/>
          <w:sz w:val="24"/>
        </w:rPr>
        <w:t>9.84万元（含开具税务发票所需税费）</w:t>
      </w:r>
    </w:p>
    <w:p w14:paraId="15329326">
      <w:pPr>
        <w:spacing w:line="360" w:lineRule="auto"/>
        <w:ind w:firstLine="360" w:firstLineChars="150"/>
        <w:rPr>
          <w:rFonts w:hint="eastAsia" w:ascii="宋体" w:hAnsi="宋体" w:cs="宋体"/>
          <w:sz w:val="24"/>
        </w:rPr>
      </w:pPr>
      <w:r>
        <w:rPr>
          <w:rFonts w:hint="eastAsia" w:ascii="宋体" w:hAnsi="宋体" w:cs="宋体"/>
          <w:sz w:val="24"/>
        </w:rPr>
        <w:t>注：供应商报价不能超过最高限价。该报价已包括但不限于技术开发费、物料费、会议费、劳务费、税费等所有费用。</w:t>
      </w:r>
    </w:p>
    <w:p w14:paraId="08202F1A">
      <w:pPr>
        <w:pStyle w:val="4"/>
      </w:pPr>
      <w:bookmarkStart w:id="49" w:name="_Toc16248792"/>
      <w:bookmarkStart w:id="50" w:name="_Toc16164362"/>
      <w:r>
        <w:rPr>
          <w:rFonts w:hint="eastAsia"/>
          <w:lang w:val="en-US"/>
        </w:rPr>
        <w:t>四</w:t>
      </w:r>
      <w:r>
        <w:rPr>
          <w:rFonts w:hint="eastAsia"/>
        </w:rPr>
        <w:t>、服务质量标准</w:t>
      </w:r>
      <w:bookmarkEnd w:id="49"/>
      <w:bookmarkEnd w:id="50"/>
    </w:p>
    <w:p w14:paraId="6DE135C2">
      <w:pPr>
        <w:spacing w:line="360" w:lineRule="auto"/>
        <w:ind w:firstLine="480" w:firstLineChars="200"/>
        <w:rPr>
          <w:rFonts w:hint="eastAsia" w:ascii="宋体" w:hAnsi="宋体" w:cs="宋体"/>
          <w:sz w:val="24"/>
        </w:rPr>
      </w:pPr>
      <w:r>
        <w:rPr>
          <w:rFonts w:hint="eastAsia" w:ascii="宋体" w:hAnsi="宋体" w:cs="宋体"/>
          <w:sz w:val="24"/>
        </w:rPr>
        <w:t>1、服务内容：评估对象为全市3个</w:t>
      </w:r>
      <w:r>
        <w:rPr>
          <w:rFonts w:ascii="宋体" w:hAnsi="宋体" w:cs="宋体"/>
          <w:sz w:val="24"/>
        </w:rPr>
        <w:t>市区供水水源地</w:t>
      </w:r>
      <w:r>
        <w:rPr>
          <w:rFonts w:hint="eastAsia" w:ascii="宋体" w:hAnsi="宋体" w:cs="宋体"/>
          <w:sz w:val="24"/>
        </w:rPr>
        <w:t>（沙渚水源地、锡东水源地、西石桥水源地），核查手段包括但不限于资料查阅、台账检查、无人机排查、卫片识别等方式；对全市10个饮用水水源地环境状况档案、保护区矢量图进行动态更新；</w:t>
      </w:r>
    </w:p>
    <w:p w14:paraId="541D27DA">
      <w:pPr>
        <w:spacing w:line="360" w:lineRule="auto"/>
        <w:ind w:firstLine="480" w:firstLineChars="200"/>
        <w:rPr>
          <w:rFonts w:hint="eastAsia" w:ascii="宋体" w:hAnsi="宋体" w:cs="宋体"/>
          <w:sz w:val="24"/>
        </w:rPr>
      </w:pPr>
      <w:r>
        <w:rPr>
          <w:rFonts w:hint="eastAsia" w:ascii="宋体" w:hAnsi="宋体" w:cs="宋体"/>
          <w:sz w:val="24"/>
        </w:rPr>
        <w:t>2、交付成果包括不限于：</w:t>
      </w:r>
    </w:p>
    <w:p w14:paraId="39592B25">
      <w:pPr>
        <w:spacing w:line="360" w:lineRule="auto"/>
        <w:ind w:firstLine="480" w:firstLineChars="200"/>
        <w:rPr>
          <w:rFonts w:hint="eastAsia" w:ascii="宋体" w:hAnsi="宋体" w:cs="宋体"/>
          <w:sz w:val="24"/>
        </w:rPr>
      </w:pPr>
      <w:r>
        <w:rPr>
          <w:rFonts w:hint="eastAsia" w:ascii="宋体" w:hAnsi="宋体" w:cs="宋体"/>
          <w:sz w:val="24"/>
        </w:rPr>
        <w:t>（1）</w:t>
      </w:r>
      <w:r>
        <w:rPr>
          <w:rFonts w:ascii="宋体" w:hAnsi="宋体" w:cs="宋体"/>
          <w:sz w:val="24"/>
        </w:rPr>
        <w:t>对3个市区供水水源地开展现场勘查</w:t>
      </w:r>
      <w:r>
        <w:rPr>
          <w:rFonts w:hint="eastAsia" w:ascii="宋体" w:hAnsi="宋体" w:cs="宋体"/>
          <w:sz w:val="24"/>
        </w:rPr>
        <w:t>，识别市区3个县级集中式饮用水水源地存在的问题；形成《2025年无锡市地级以上集中式饮用水水源地环境状况评估报告（西石桥、沙渚）》、《2025年无锡市县级以上集中式饮用水水源地环境状况评估报告（锡东）》等2份报告，报告编制应满足《集中式饮用水水源地环境保护状况评估技术规范》（HJ774-2015）各项要求；</w:t>
      </w:r>
    </w:p>
    <w:p w14:paraId="78D0438D">
      <w:pPr>
        <w:spacing w:line="360" w:lineRule="auto"/>
        <w:ind w:firstLine="480" w:firstLineChars="200"/>
        <w:rPr>
          <w:rFonts w:hint="eastAsia" w:ascii="宋体" w:hAnsi="宋体" w:cs="宋体"/>
          <w:sz w:val="24"/>
        </w:rPr>
      </w:pPr>
      <w:r>
        <w:rPr>
          <w:rFonts w:hint="eastAsia" w:ascii="宋体" w:hAnsi="宋体" w:cs="宋体"/>
          <w:sz w:val="24"/>
        </w:rPr>
        <w:t>（2）对</w:t>
      </w:r>
      <w:bookmarkStart w:id="51" w:name="OLE_LINK6"/>
      <w:r>
        <w:rPr>
          <w:rFonts w:hint="eastAsia" w:ascii="宋体" w:hAnsi="宋体" w:cs="宋体"/>
          <w:sz w:val="24"/>
        </w:rPr>
        <w:t>全市10个饮用水水源地（7个县级以上集中式饮用水水源地、1个乡镇级及以下饮用水水源地，2个应急水源地）环境状况档案、保护区矢量图进行动态更新</w:t>
      </w:r>
      <w:bookmarkEnd w:id="51"/>
      <w:r>
        <w:rPr>
          <w:rFonts w:hint="eastAsia" w:ascii="宋体" w:hAnsi="宋体" w:cs="宋体"/>
          <w:sz w:val="24"/>
        </w:rPr>
        <w:t>；</w:t>
      </w:r>
    </w:p>
    <w:p w14:paraId="5C2728D7">
      <w:pPr>
        <w:spacing w:line="360" w:lineRule="auto"/>
        <w:ind w:firstLine="480" w:firstLineChars="200"/>
        <w:rPr>
          <w:rFonts w:hint="eastAsia" w:ascii="宋体" w:hAnsi="宋体" w:cs="宋体"/>
          <w:sz w:val="24"/>
        </w:rPr>
      </w:pPr>
      <w:r>
        <w:rPr>
          <w:rFonts w:hint="eastAsia" w:ascii="宋体" w:hAnsi="宋体" w:cs="宋体"/>
          <w:sz w:val="24"/>
        </w:rPr>
        <w:t>（3）配合开展相关工作。</w:t>
      </w:r>
    </w:p>
    <w:p w14:paraId="4D21142E">
      <w:pPr>
        <w:numPr>
          <w:ilvl w:val="0"/>
          <w:numId w:val="2"/>
        </w:numPr>
        <w:spacing w:line="360" w:lineRule="auto"/>
        <w:ind w:firstLine="480" w:firstLineChars="200"/>
        <w:rPr>
          <w:rFonts w:hint="eastAsia" w:ascii="宋体" w:hAnsi="宋体" w:cs="宋体"/>
          <w:sz w:val="24"/>
        </w:rPr>
      </w:pPr>
      <w:r>
        <w:rPr>
          <w:rFonts w:hint="eastAsia" w:ascii="宋体" w:hAnsi="宋体" w:cs="宋体"/>
          <w:sz w:val="24"/>
        </w:rPr>
        <w:t>服务标准：</w:t>
      </w:r>
      <w:bookmarkStart w:id="52" w:name="OLE_LINK2"/>
      <w:r>
        <w:rPr>
          <w:rFonts w:hint="eastAsia" w:ascii="宋体" w:hAnsi="宋体" w:cs="宋体"/>
          <w:sz w:val="24"/>
        </w:rPr>
        <w:t>满足</w:t>
      </w:r>
      <w:bookmarkStart w:id="53" w:name="OLE_LINK3"/>
      <w:r>
        <w:rPr>
          <w:rFonts w:hint="eastAsia" w:ascii="宋体" w:hAnsi="宋体" w:cs="宋体"/>
          <w:sz w:val="24"/>
        </w:rPr>
        <w:t>《集中式饮用水水源地环境保护状况评估技术规范》（HJ774-2015）各项要求</w:t>
      </w:r>
      <w:bookmarkEnd w:id="52"/>
      <w:r>
        <w:rPr>
          <w:rFonts w:hint="eastAsia" w:ascii="宋体" w:hAnsi="宋体" w:cs="宋体"/>
          <w:sz w:val="24"/>
        </w:rPr>
        <w:t>，</w:t>
      </w:r>
      <w:bookmarkStart w:id="54" w:name="OLE_LINK7"/>
      <w:r>
        <w:rPr>
          <w:rFonts w:hint="eastAsia" w:ascii="宋体" w:hAnsi="宋体" w:cs="宋体"/>
          <w:sz w:val="24"/>
        </w:rPr>
        <w:t>饮用水水源地矢量图符合省生态环境厅水源地矢量图的绘制要求和格式要求，水源地档案按甲方确认的要求进行动态更新</w:t>
      </w:r>
      <w:bookmarkEnd w:id="53"/>
      <w:bookmarkEnd w:id="54"/>
      <w:r>
        <w:rPr>
          <w:rFonts w:hint="eastAsia" w:ascii="宋体" w:hAnsi="宋体" w:cs="宋体"/>
          <w:sz w:val="24"/>
        </w:rPr>
        <w:t>；</w:t>
      </w:r>
    </w:p>
    <w:p w14:paraId="014A4102">
      <w:pPr>
        <w:spacing w:line="360" w:lineRule="auto"/>
        <w:ind w:firstLine="480" w:firstLineChars="200"/>
        <w:rPr>
          <w:rFonts w:hint="eastAsia" w:ascii="宋体" w:hAnsi="宋体" w:cs="宋体"/>
          <w:sz w:val="24"/>
        </w:rPr>
      </w:pPr>
      <w:r>
        <w:rPr>
          <w:rFonts w:hint="eastAsia" w:ascii="宋体" w:hAnsi="宋体" w:cs="宋体"/>
          <w:sz w:val="24"/>
        </w:rPr>
        <w:t>4、服务期限为合同签订之日至</w:t>
      </w:r>
      <w:r>
        <w:rPr>
          <w:rFonts w:ascii="宋体" w:hAnsi="宋体" w:cs="宋体"/>
          <w:sz w:val="24"/>
        </w:rPr>
        <w:t>售后服务期届满且售后服务均通过采购人验收止。</w:t>
      </w:r>
      <w:r>
        <w:rPr>
          <w:rFonts w:hint="eastAsia" w:ascii="宋体" w:hAnsi="宋体" w:cs="宋体"/>
          <w:sz w:val="24"/>
        </w:rPr>
        <w:t>并于2025年12月31日期前通过采购人指定方式提交服务、评估报告、矢量图等工作成果</w:t>
      </w:r>
      <w:r>
        <w:rPr>
          <w:rFonts w:ascii="宋体" w:hAnsi="宋体" w:cs="宋体"/>
          <w:sz w:val="24"/>
        </w:rPr>
        <w:t>并均通过采购人验收</w:t>
      </w:r>
      <w:r>
        <w:rPr>
          <w:rFonts w:hint="eastAsia" w:ascii="宋体" w:hAnsi="宋体" w:cs="宋体"/>
          <w:sz w:val="24"/>
        </w:rPr>
        <w:t>；</w:t>
      </w:r>
    </w:p>
    <w:p w14:paraId="23AEDD2A">
      <w:pPr>
        <w:spacing w:line="360" w:lineRule="auto"/>
        <w:ind w:firstLine="480" w:firstLineChars="200"/>
        <w:rPr>
          <w:rFonts w:hint="eastAsia" w:ascii="宋体" w:hAnsi="宋体" w:cs="宋体"/>
          <w:sz w:val="24"/>
        </w:rPr>
      </w:pPr>
      <w:r>
        <w:rPr>
          <w:rFonts w:hint="eastAsia" w:ascii="宋体" w:hAnsi="宋体" w:cs="宋体"/>
          <w:sz w:val="24"/>
        </w:rPr>
        <w:t>5、上述服务及报告等通过采购方或省级部门审核。</w:t>
      </w:r>
    </w:p>
    <w:p w14:paraId="35639B75">
      <w:pPr>
        <w:pStyle w:val="4"/>
        <w:rPr>
          <w:lang w:val="en-US"/>
        </w:rPr>
      </w:pPr>
      <w:r>
        <w:rPr>
          <w:rFonts w:hint="eastAsia"/>
          <w:lang w:val="en-US"/>
        </w:rPr>
        <w:t>五、付款方式</w:t>
      </w:r>
    </w:p>
    <w:p w14:paraId="7DC07597">
      <w:pPr>
        <w:pStyle w:val="9"/>
        <w:spacing w:line="360" w:lineRule="auto"/>
        <w:ind w:firstLine="480" w:firstLineChars="200"/>
        <w:rPr>
          <w:rFonts w:hint="eastAsia" w:ascii="宋体" w:hAnsi="宋体" w:cs="宋体"/>
          <w:color w:val="FF0000"/>
          <w:sz w:val="24"/>
        </w:rPr>
      </w:pPr>
      <w:r>
        <w:rPr>
          <w:rFonts w:hint="eastAsia" w:ascii="宋体" w:hAnsi="宋体" w:cs="宋体"/>
          <w:sz w:val="24"/>
        </w:rPr>
        <w:t>合同签订后15天内，采购人支付成交供应商合同总价款的50%；成交供应商按时提供项目各项服务以及《2025年无锡市地级以上集中式饮用水水源地环境状况评估报告（西石桥、沙渚）》、《2025年无锡市县级以上集中式饮用水水源地环境状况评估报告（锡东）》等约定项目成果且服务和成果均通过采购人审查验收、无违约行为后15个工作日内，采购人支付成交供应商剩余尾款。每次付款前，成交供应商应当向采购人先行开具并提交相应数额的税务发票，否则，采购人有权暂停付款，成交供应商须继续严格按合同约定提供服务。</w:t>
      </w:r>
    </w:p>
    <w:p w14:paraId="503D29E7">
      <w:pPr>
        <w:widowControl/>
        <w:jc w:val="left"/>
        <w:rPr>
          <w:rFonts w:hint="eastAsia" w:ascii="宋体" w:hAnsi="宋体" w:cs="宋体"/>
          <w:sz w:val="24"/>
        </w:rPr>
      </w:pPr>
    </w:p>
    <w:p w14:paraId="21F84BDA">
      <w:pPr>
        <w:pStyle w:val="3"/>
      </w:pPr>
      <w:r>
        <w:rPr>
          <w:rFonts w:hint="eastAsia"/>
        </w:rPr>
        <w:t>第四章  评分标准</w:t>
      </w:r>
    </w:p>
    <w:p w14:paraId="5582BDA1">
      <w:pPr>
        <w:snapToGrid w:val="0"/>
        <w:spacing w:line="360" w:lineRule="auto"/>
        <w:ind w:firstLine="480" w:firstLineChars="200"/>
        <w:rPr>
          <w:rFonts w:hint="eastAsia" w:ascii="宋体" w:hAnsi="宋体"/>
          <w:sz w:val="24"/>
        </w:rPr>
      </w:pPr>
      <w:r>
        <w:rPr>
          <w:rFonts w:hint="eastAsia" w:ascii="宋体" w:hAnsi="宋体"/>
          <w:sz w:val="24"/>
        </w:rPr>
        <w:t>对通过初评确定为实质上响应采购文件的供应商进行详细的评分，采用百分制计分方法评审时，谈判小组各成员独立对每个有效供应商的响应文件进行评价、打分，各个供应商的最终得分为所有评委所评定分值的平均值（保留2位小数）并按高低顺序排列，确定1家成交候选单位。若得分相同，按最后报价由低到高顺序排列；得分且最后报价相同，按技术指标优劣顺序，确定由得分最高的供应商为成交供应商</w:t>
      </w:r>
      <w:r>
        <w:rPr>
          <w:rFonts w:hint="eastAsia"/>
        </w:rPr>
        <w:t>。</w:t>
      </w:r>
      <w:r>
        <w:rPr>
          <w:rFonts w:hint="eastAsia" w:ascii="宋体" w:hAnsi="宋体"/>
          <w:sz w:val="24"/>
        </w:rPr>
        <w:t>评审考虑的主要因素及其权值如下：</w:t>
      </w:r>
    </w:p>
    <w:tbl>
      <w:tblPr>
        <w:tblStyle w:val="23"/>
        <w:tblW w:w="4818" w:type="pct"/>
        <w:tblInd w:w="0" w:type="dxa"/>
        <w:tblLayout w:type="autofit"/>
        <w:tblCellMar>
          <w:top w:w="0" w:type="dxa"/>
          <w:left w:w="108" w:type="dxa"/>
          <w:bottom w:w="0" w:type="dxa"/>
          <w:right w:w="108" w:type="dxa"/>
        </w:tblCellMar>
      </w:tblPr>
      <w:tblGrid>
        <w:gridCol w:w="792"/>
        <w:gridCol w:w="879"/>
        <w:gridCol w:w="5918"/>
        <w:gridCol w:w="623"/>
      </w:tblGrid>
      <w:tr w14:paraId="274C2633">
        <w:tblPrEx>
          <w:tblCellMar>
            <w:top w:w="0" w:type="dxa"/>
            <w:left w:w="108" w:type="dxa"/>
            <w:bottom w:w="0" w:type="dxa"/>
            <w:right w:w="108" w:type="dxa"/>
          </w:tblCellMar>
        </w:tblPrEx>
        <w:trPr>
          <w:trHeight w:val="684" w:hRule="atLeast"/>
        </w:trPr>
        <w:tc>
          <w:tcPr>
            <w:tcW w:w="482" w:type="pct"/>
            <w:tcBorders>
              <w:top w:val="single" w:color="auto" w:sz="4" w:space="0"/>
              <w:left w:val="single" w:color="auto" w:sz="4" w:space="0"/>
              <w:bottom w:val="single" w:color="auto" w:sz="4" w:space="0"/>
              <w:right w:val="single" w:color="auto" w:sz="4" w:space="0"/>
            </w:tcBorders>
            <w:shd w:val="clear" w:color="auto" w:fill="auto"/>
            <w:vAlign w:val="center"/>
          </w:tcPr>
          <w:p w14:paraId="121FF3E8">
            <w:pPr>
              <w:widowControl/>
              <w:jc w:val="center"/>
              <w:rPr>
                <w:rFonts w:hint="eastAsia" w:ascii="宋体" w:hAnsi="宋体" w:cs="宋体"/>
                <w:kern w:val="0"/>
                <w:sz w:val="20"/>
                <w:szCs w:val="20"/>
              </w:rPr>
            </w:pPr>
            <w:r>
              <w:rPr>
                <w:rFonts w:hint="eastAsia" w:ascii="宋体" w:hAnsi="宋体" w:cs="宋体"/>
                <w:kern w:val="0"/>
                <w:sz w:val="20"/>
                <w:szCs w:val="20"/>
              </w:rPr>
              <w:t>项目</w:t>
            </w:r>
          </w:p>
        </w:tc>
        <w:tc>
          <w:tcPr>
            <w:tcW w:w="535" w:type="pct"/>
            <w:tcBorders>
              <w:top w:val="single" w:color="auto" w:sz="4" w:space="0"/>
              <w:left w:val="nil"/>
              <w:bottom w:val="single" w:color="auto" w:sz="4" w:space="0"/>
              <w:right w:val="single" w:color="auto" w:sz="4" w:space="0"/>
            </w:tcBorders>
            <w:shd w:val="clear" w:color="auto" w:fill="auto"/>
            <w:vAlign w:val="center"/>
          </w:tcPr>
          <w:p w14:paraId="6EDCD5D5">
            <w:pPr>
              <w:widowControl/>
              <w:jc w:val="center"/>
              <w:rPr>
                <w:rFonts w:hint="eastAsia" w:ascii="宋体" w:hAnsi="宋体" w:cs="宋体"/>
                <w:kern w:val="0"/>
                <w:sz w:val="20"/>
                <w:szCs w:val="20"/>
              </w:rPr>
            </w:pPr>
            <w:r>
              <w:rPr>
                <w:rFonts w:hint="eastAsia" w:ascii="宋体" w:hAnsi="宋体" w:cs="宋体"/>
                <w:kern w:val="0"/>
                <w:sz w:val="20"/>
                <w:szCs w:val="20"/>
              </w:rPr>
              <w:t>评分类别</w:t>
            </w:r>
          </w:p>
        </w:tc>
        <w:tc>
          <w:tcPr>
            <w:tcW w:w="3602" w:type="pct"/>
            <w:tcBorders>
              <w:top w:val="single" w:color="auto" w:sz="4" w:space="0"/>
              <w:left w:val="nil"/>
              <w:bottom w:val="single" w:color="auto" w:sz="4" w:space="0"/>
              <w:right w:val="single" w:color="auto" w:sz="4" w:space="0"/>
            </w:tcBorders>
            <w:shd w:val="clear" w:color="auto" w:fill="auto"/>
            <w:vAlign w:val="center"/>
          </w:tcPr>
          <w:p w14:paraId="29044251">
            <w:pPr>
              <w:widowControl/>
              <w:jc w:val="center"/>
              <w:rPr>
                <w:rFonts w:hint="eastAsia" w:ascii="宋体" w:hAnsi="宋体" w:cs="宋体"/>
                <w:kern w:val="0"/>
                <w:sz w:val="20"/>
                <w:szCs w:val="20"/>
              </w:rPr>
            </w:pPr>
            <w:r>
              <w:rPr>
                <w:rFonts w:hint="eastAsia" w:ascii="宋体" w:hAnsi="宋体" w:cs="宋体"/>
                <w:kern w:val="0"/>
                <w:sz w:val="20"/>
                <w:szCs w:val="20"/>
              </w:rPr>
              <w:t>评分内容及方法</w:t>
            </w:r>
          </w:p>
        </w:tc>
        <w:tc>
          <w:tcPr>
            <w:tcW w:w="379" w:type="pct"/>
            <w:tcBorders>
              <w:top w:val="single" w:color="auto" w:sz="4" w:space="0"/>
              <w:left w:val="nil"/>
              <w:bottom w:val="single" w:color="auto" w:sz="4" w:space="0"/>
              <w:right w:val="single" w:color="auto" w:sz="4" w:space="0"/>
            </w:tcBorders>
            <w:shd w:val="clear" w:color="auto" w:fill="auto"/>
            <w:vAlign w:val="center"/>
          </w:tcPr>
          <w:p w14:paraId="2370F3AC">
            <w:pPr>
              <w:widowControl/>
              <w:jc w:val="center"/>
              <w:rPr>
                <w:rFonts w:hint="eastAsia" w:ascii="宋体" w:hAnsi="宋体" w:cs="宋体"/>
                <w:kern w:val="0"/>
                <w:sz w:val="20"/>
                <w:szCs w:val="20"/>
              </w:rPr>
            </w:pPr>
            <w:r>
              <w:rPr>
                <w:rFonts w:hint="eastAsia" w:ascii="宋体" w:hAnsi="宋体" w:cs="宋体"/>
                <w:kern w:val="0"/>
                <w:sz w:val="20"/>
                <w:szCs w:val="20"/>
              </w:rPr>
              <w:t>满分</w:t>
            </w:r>
          </w:p>
        </w:tc>
      </w:tr>
      <w:tr w14:paraId="336D916F">
        <w:tblPrEx>
          <w:tblCellMar>
            <w:top w:w="0" w:type="dxa"/>
            <w:left w:w="108" w:type="dxa"/>
            <w:bottom w:w="0" w:type="dxa"/>
            <w:right w:w="108" w:type="dxa"/>
          </w:tblCellMar>
        </w:tblPrEx>
        <w:trPr>
          <w:trHeight w:val="1368" w:hRule="atLeast"/>
        </w:trPr>
        <w:tc>
          <w:tcPr>
            <w:tcW w:w="482" w:type="pct"/>
            <w:tcBorders>
              <w:top w:val="nil"/>
              <w:left w:val="single" w:color="auto" w:sz="4" w:space="0"/>
              <w:bottom w:val="single" w:color="auto" w:sz="4" w:space="0"/>
              <w:right w:val="single" w:color="auto" w:sz="4" w:space="0"/>
            </w:tcBorders>
            <w:shd w:val="clear" w:color="auto" w:fill="auto"/>
            <w:vAlign w:val="center"/>
          </w:tcPr>
          <w:p w14:paraId="2F622781">
            <w:pPr>
              <w:widowControl/>
              <w:jc w:val="center"/>
              <w:rPr>
                <w:rFonts w:hint="eastAsia" w:ascii="宋体" w:hAnsi="宋体" w:cs="宋体"/>
                <w:kern w:val="0"/>
                <w:sz w:val="20"/>
                <w:szCs w:val="20"/>
              </w:rPr>
            </w:pPr>
            <w:r>
              <w:rPr>
                <w:rFonts w:hint="eastAsia" w:ascii="宋体" w:hAnsi="宋体" w:cs="宋体"/>
                <w:kern w:val="0"/>
                <w:sz w:val="20"/>
                <w:szCs w:val="20"/>
              </w:rPr>
              <w:t>价格分（30分）</w:t>
            </w:r>
          </w:p>
        </w:tc>
        <w:tc>
          <w:tcPr>
            <w:tcW w:w="535" w:type="pct"/>
            <w:tcBorders>
              <w:top w:val="nil"/>
              <w:left w:val="nil"/>
              <w:bottom w:val="single" w:color="auto" w:sz="4" w:space="0"/>
              <w:right w:val="single" w:color="auto" w:sz="4" w:space="0"/>
            </w:tcBorders>
            <w:shd w:val="clear" w:color="auto" w:fill="auto"/>
            <w:vAlign w:val="center"/>
          </w:tcPr>
          <w:p w14:paraId="63924372">
            <w:pPr>
              <w:widowControl/>
              <w:jc w:val="center"/>
              <w:rPr>
                <w:rFonts w:hint="eastAsia" w:ascii="宋体" w:hAnsi="宋体" w:cs="宋体"/>
                <w:kern w:val="0"/>
                <w:sz w:val="20"/>
                <w:szCs w:val="20"/>
              </w:rPr>
            </w:pPr>
            <w:r>
              <w:rPr>
                <w:rFonts w:hint="eastAsia" w:ascii="宋体" w:hAnsi="宋体" w:cs="宋体"/>
                <w:kern w:val="0"/>
                <w:sz w:val="20"/>
                <w:szCs w:val="20"/>
              </w:rPr>
              <w:t xml:space="preserve">价格 </w:t>
            </w:r>
          </w:p>
        </w:tc>
        <w:tc>
          <w:tcPr>
            <w:tcW w:w="3602" w:type="pct"/>
            <w:tcBorders>
              <w:top w:val="nil"/>
              <w:left w:val="nil"/>
              <w:bottom w:val="single" w:color="auto" w:sz="4" w:space="0"/>
              <w:right w:val="single" w:color="auto" w:sz="4" w:space="0"/>
            </w:tcBorders>
            <w:shd w:val="clear" w:color="auto" w:fill="auto"/>
            <w:vAlign w:val="center"/>
          </w:tcPr>
          <w:p w14:paraId="7D326678">
            <w:pPr>
              <w:widowControl/>
              <w:jc w:val="left"/>
              <w:rPr>
                <w:rFonts w:hint="eastAsia" w:ascii="宋体" w:hAnsi="宋体" w:cs="宋体"/>
                <w:kern w:val="0"/>
                <w:sz w:val="20"/>
                <w:szCs w:val="20"/>
              </w:rPr>
            </w:pPr>
            <w:r>
              <w:rPr>
                <w:rFonts w:hint="eastAsia" w:ascii="宋体" w:hAnsi="宋体" w:cs="宋体"/>
                <w:kern w:val="0"/>
                <w:sz w:val="20"/>
                <w:szCs w:val="20"/>
              </w:rPr>
              <w:t>满足采购文件要求且报价最低的最后报价为谈判基准价，其价格为满分。其他供应商的价格分按照下列公式计算。</w:t>
            </w:r>
            <w:r>
              <w:rPr>
                <w:rFonts w:hint="eastAsia"/>
              </w:rPr>
              <w:t>报价</w:t>
            </w:r>
            <w:r>
              <w:rPr>
                <w:rFonts w:hint="eastAsia" w:ascii="宋体" w:hAnsi="宋体" w:cs="宋体"/>
                <w:kern w:val="0"/>
                <w:sz w:val="20"/>
                <w:szCs w:val="20"/>
              </w:rPr>
              <w:t>得分=（谈判基准价/ 最后报价）×30（精确到小数点后两位）分。</w:t>
            </w:r>
          </w:p>
        </w:tc>
        <w:tc>
          <w:tcPr>
            <w:tcW w:w="379" w:type="pct"/>
            <w:tcBorders>
              <w:top w:val="nil"/>
              <w:left w:val="nil"/>
              <w:bottom w:val="single" w:color="auto" w:sz="4" w:space="0"/>
              <w:right w:val="single" w:color="auto" w:sz="4" w:space="0"/>
            </w:tcBorders>
            <w:shd w:val="clear" w:color="auto" w:fill="auto"/>
            <w:vAlign w:val="center"/>
          </w:tcPr>
          <w:p w14:paraId="119205AE">
            <w:pPr>
              <w:widowControl/>
              <w:jc w:val="center"/>
              <w:rPr>
                <w:rFonts w:hint="eastAsia" w:ascii="宋体" w:hAnsi="宋体" w:cs="宋体"/>
                <w:kern w:val="0"/>
                <w:sz w:val="20"/>
                <w:szCs w:val="20"/>
              </w:rPr>
            </w:pPr>
            <w:r>
              <w:rPr>
                <w:rFonts w:hint="eastAsia" w:ascii="宋体" w:hAnsi="宋体" w:cs="宋体"/>
                <w:kern w:val="0"/>
                <w:sz w:val="20"/>
                <w:szCs w:val="20"/>
              </w:rPr>
              <w:t>30</w:t>
            </w:r>
          </w:p>
        </w:tc>
      </w:tr>
      <w:tr w14:paraId="63F16989">
        <w:tblPrEx>
          <w:tblCellMar>
            <w:top w:w="0" w:type="dxa"/>
            <w:left w:w="108" w:type="dxa"/>
            <w:bottom w:w="0" w:type="dxa"/>
            <w:right w:w="108" w:type="dxa"/>
          </w:tblCellMar>
        </w:tblPrEx>
        <w:trPr>
          <w:trHeight w:val="1044" w:hRule="atLeast"/>
        </w:trPr>
        <w:tc>
          <w:tcPr>
            <w:tcW w:w="482" w:type="pct"/>
            <w:vMerge w:val="restart"/>
            <w:tcBorders>
              <w:top w:val="nil"/>
              <w:left w:val="single" w:color="auto" w:sz="4" w:space="0"/>
              <w:right w:val="single" w:color="auto" w:sz="4" w:space="0"/>
            </w:tcBorders>
            <w:shd w:val="clear" w:color="auto" w:fill="auto"/>
            <w:vAlign w:val="center"/>
          </w:tcPr>
          <w:p w14:paraId="0D711CF4">
            <w:pPr>
              <w:widowControl/>
              <w:jc w:val="center"/>
              <w:rPr>
                <w:rFonts w:hint="eastAsia" w:ascii="宋体" w:hAnsi="宋体" w:cs="宋体"/>
                <w:kern w:val="0"/>
                <w:sz w:val="20"/>
                <w:szCs w:val="20"/>
              </w:rPr>
            </w:pPr>
            <w:r>
              <w:rPr>
                <w:rFonts w:hint="eastAsia" w:ascii="宋体" w:hAnsi="宋体" w:cs="宋体"/>
                <w:kern w:val="0"/>
                <w:sz w:val="20"/>
                <w:szCs w:val="20"/>
              </w:rPr>
              <w:t>商务分（</w:t>
            </w:r>
            <w:r>
              <w:rPr>
                <w:rFonts w:hint="eastAsia" w:ascii="宋体" w:hAnsi="宋体" w:cs="宋体"/>
                <w:kern w:val="0"/>
                <w:sz w:val="20"/>
                <w:szCs w:val="20"/>
                <w:lang w:val="en-US" w:eastAsia="zh-CN"/>
              </w:rPr>
              <w:t>25</w:t>
            </w:r>
            <w:r>
              <w:rPr>
                <w:rFonts w:hint="eastAsia" w:ascii="宋体" w:hAnsi="宋体" w:cs="宋体"/>
                <w:kern w:val="0"/>
                <w:sz w:val="20"/>
                <w:szCs w:val="20"/>
              </w:rPr>
              <w:t>分）</w:t>
            </w:r>
          </w:p>
        </w:tc>
        <w:tc>
          <w:tcPr>
            <w:tcW w:w="535" w:type="pct"/>
            <w:tcBorders>
              <w:top w:val="nil"/>
              <w:left w:val="nil"/>
              <w:bottom w:val="single" w:color="auto" w:sz="4" w:space="0"/>
              <w:right w:val="single" w:color="auto" w:sz="4" w:space="0"/>
            </w:tcBorders>
            <w:shd w:val="clear" w:color="auto" w:fill="auto"/>
            <w:vAlign w:val="center"/>
          </w:tcPr>
          <w:p w14:paraId="47707702">
            <w:pPr>
              <w:widowControl/>
              <w:jc w:val="center"/>
              <w:rPr>
                <w:rFonts w:hint="eastAsia" w:ascii="宋体" w:hAnsi="宋体" w:cs="宋体"/>
                <w:kern w:val="0"/>
                <w:sz w:val="20"/>
                <w:szCs w:val="20"/>
              </w:rPr>
            </w:pPr>
            <w:r>
              <w:rPr>
                <w:rFonts w:hint="eastAsia" w:ascii="宋体" w:hAnsi="宋体" w:cs="宋体"/>
                <w:kern w:val="0"/>
                <w:sz w:val="20"/>
                <w:szCs w:val="20"/>
              </w:rPr>
              <w:t xml:space="preserve">业绩 </w:t>
            </w:r>
          </w:p>
        </w:tc>
        <w:tc>
          <w:tcPr>
            <w:tcW w:w="3602" w:type="pct"/>
            <w:tcBorders>
              <w:top w:val="nil"/>
              <w:left w:val="nil"/>
              <w:bottom w:val="single" w:color="auto" w:sz="4" w:space="0"/>
              <w:right w:val="single" w:color="auto" w:sz="4" w:space="0"/>
            </w:tcBorders>
            <w:shd w:val="clear" w:color="auto" w:fill="auto"/>
            <w:vAlign w:val="center"/>
          </w:tcPr>
          <w:p w14:paraId="409274AC">
            <w:pPr>
              <w:widowControl/>
              <w:jc w:val="left"/>
              <w:rPr>
                <w:rFonts w:hint="eastAsia" w:ascii="宋体" w:hAnsi="宋体" w:cs="宋体"/>
                <w:kern w:val="0"/>
                <w:sz w:val="20"/>
                <w:szCs w:val="20"/>
              </w:rPr>
            </w:pPr>
            <w:r>
              <w:rPr>
                <w:rFonts w:hint="eastAsia" w:ascii="宋体" w:hAnsi="宋体" w:cs="宋体"/>
                <w:kern w:val="0"/>
                <w:sz w:val="20"/>
                <w:szCs w:val="20"/>
              </w:rPr>
              <w:t>供应商提供2022年3月以来承担县区级及以上生态环境类技术评估服务采购项目的相关工作业绩，有一份得</w:t>
            </w:r>
            <w:r>
              <w:rPr>
                <w:rFonts w:hint="eastAsia" w:ascii="宋体" w:hAnsi="宋体" w:cs="宋体"/>
                <w:kern w:val="0"/>
                <w:sz w:val="20"/>
                <w:szCs w:val="20"/>
                <w:lang w:val="en-US" w:eastAsia="zh-CN"/>
              </w:rPr>
              <w:t>5</w:t>
            </w:r>
            <w:r>
              <w:rPr>
                <w:rFonts w:hint="eastAsia" w:ascii="宋体" w:hAnsi="宋体" w:cs="宋体"/>
                <w:kern w:val="0"/>
                <w:sz w:val="20"/>
                <w:szCs w:val="20"/>
              </w:rPr>
              <w:t>分，最高</w:t>
            </w:r>
            <w:r>
              <w:rPr>
                <w:rFonts w:hint="eastAsia" w:ascii="宋体" w:hAnsi="宋体" w:cs="宋体"/>
                <w:kern w:val="0"/>
                <w:sz w:val="20"/>
                <w:szCs w:val="20"/>
                <w:lang w:val="en-US" w:eastAsia="zh-CN"/>
              </w:rPr>
              <w:t>15</w:t>
            </w:r>
            <w:r>
              <w:rPr>
                <w:rFonts w:hint="eastAsia" w:ascii="宋体" w:hAnsi="宋体" w:cs="宋体"/>
                <w:kern w:val="0"/>
                <w:sz w:val="20"/>
                <w:szCs w:val="20"/>
              </w:rPr>
              <w:t>分（</w:t>
            </w:r>
            <w:r>
              <w:rPr>
                <w:rFonts w:ascii="宋体" w:hAnsi="宋体" w:cs="宋体"/>
                <w:kern w:val="0"/>
                <w:sz w:val="20"/>
                <w:szCs w:val="20"/>
              </w:rPr>
              <w:t>需提供符合上述要求的</w:t>
            </w:r>
            <w:r>
              <w:rPr>
                <w:rFonts w:hint="eastAsia" w:ascii="宋体" w:hAnsi="宋体" w:cs="宋体"/>
                <w:kern w:val="0"/>
                <w:sz w:val="20"/>
                <w:szCs w:val="20"/>
              </w:rPr>
              <w:t>中标/成交通知书、</w:t>
            </w:r>
            <w:r>
              <w:rPr>
                <w:rFonts w:ascii="宋体" w:hAnsi="宋体" w:cs="宋体"/>
                <w:kern w:val="0"/>
                <w:sz w:val="20"/>
                <w:szCs w:val="20"/>
              </w:rPr>
              <w:t>合同/协议关键页</w:t>
            </w:r>
            <w:r>
              <w:rPr>
                <w:rFonts w:hint="eastAsia" w:ascii="宋体" w:hAnsi="宋体" w:cs="宋体"/>
                <w:kern w:val="0"/>
                <w:sz w:val="20"/>
                <w:szCs w:val="20"/>
              </w:rPr>
              <w:t>复印件并加盖供应商公章</w:t>
            </w:r>
            <w:r>
              <w:rPr>
                <w:rFonts w:ascii="宋体" w:hAnsi="宋体" w:cs="宋体"/>
                <w:kern w:val="0"/>
                <w:sz w:val="20"/>
                <w:szCs w:val="20"/>
              </w:rPr>
              <w:t>作为有效的业绩证明材料</w:t>
            </w:r>
            <w:r>
              <w:rPr>
                <w:rFonts w:hint="eastAsia" w:ascii="宋体" w:hAnsi="宋体" w:cs="宋体"/>
                <w:kern w:val="0"/>
                <w:sz w:val="20"/>
                <w:szCs w:val="20"/>
              </w:rPr>
              <w:t>，</w:t>
            </w:r>
            <w:r>
              <w:rPr>
                <w:rFonts w:ascii="宋体" w:hAnsi="宋体" w:cs="宋体"/>
                <w:kern w:val="0"/>
                <w:sz w:val="20"/>
                <w:szCs w:val="20"/>
              </w:rPr>
              <w:t>合同/协议关键页包含但不限于合同/协议首页、体现项目内容页、签署盖章页等。</w:t>
            </w:r>
            <w:r>
              <w:rPr>
                <w:rFonts w:hint="eastAsia" w:ascii="宋体" w:hAnsi="宋体" w:cs="宋体"/>
                <w:kern w:val="0"/>
                <w:sz w:val="20"/>
                <w:szCs w:val="20"/>
              </w:rPr>
              <w:t>）</w:t>
            </w:r>
          </w:p>
        </w:tc>
        <w:tc>
          <w:tcPr>
            <w:tcW w:w="379" w:type="pct"/>
            <w:tcBorders>
              <w:top w:val="nil"/>
              <w:left w:val="nil"/>
              <w:bottom w:val="single" w:color="auto" w:sz="4" w:space="0"/>
              <w:right w:val="single" w:color="auto" w:sz="4" w:space="0"/>
            </w:tcBorders>
            <w:shd w:val="clear" w:color="auto" w:fill="auto"/>
            <w:vAlign w:val="center"/>
          </w:tcPr>
          <w:p w14:paraId="4D92C85E">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15</w:t>
            </w:r>
          </w:p>
        </w:tc>
      </w:tr>
      <w:tr w14:paraId="6C2A8F26">
        <w:tblPrEx>
          <w:tblCellMar>
            <w:top w:w="0" w:type="dxa"/>
            <w:left w:w="108" w:type="dxa"/>
            <w:bottom w:w="0" w:type="dxa"/>
            <w:right w:w="108" w:type="dxa"/>
          </w:tblCellMar>
        </w:tblPrEx>
        <w:trPr>
          <w:trHeight w:val="1296" w:hRule="atLeast"/>
        </w:trPr>
        <w:tc>
          <w:tcPr>
            <w:tcW w:w="482" w:type="pct"/>
            <w:vMerge w:val="continue"/>
            <w:tcBorders>
              <w:left w:val="single" w:color="auto" w:sz="4" w:space="0"/>
              <w:right w:val="single" w:color="auto" w:sz="4" w:space="0"/>
            </w:tcBorders>
            <w:vAlign w:val="center"/>
          </w:tcPr>
          <w:p w14:paraId="3F6A8689">
            <w:pPr>
              <w:widowControl/>
              <w:jc w:val="left"/>
              <w:rPr>
                <w:rFonts w:hint="eastAsia" w:ascii="宋体" w:hAnsi="宋体" w:cs="宋体"/>
                <w:kern w:val="0"/>
                <w:sz w:val="20"/>
                <w:szCs w:val="20"/>
              </w:rPr>
            </w:pPr>
          </w:p>
        </w:tc>
        <w:tc>
          <w:tcPr>
            <w:tcW w:w="535" w:type="pct"/>
            <w:tcBorders>
              <w:top w:val="nil"/>
              <w:left w:val="nil"/>
              <w:bottom w:val="single" w:color="auto" w:sz="4" w:space="0"/>
              <w:right w:val="single" w:color="auto" w:sz="4" w:space="0"/>
            </w:tcBorders>
            <w:shd w:val="clear" w:color="auto" w:fill="auto"/>
            <w:vAlign w:val="center"/>
          </w:tcPr>
          <w:p w14:paraId="51F6FF77">
            <w:pPr>
              <w:widowControl/>
              <w:jc w:val="center"/>
              <w:rPr>
                <w:rFonts w:hint="eastAsia" w:ascii="宋体" w:hAnsi="宋体" w:cs="宋体"/>
                <w:kern w:val="0"/>
                <w:sz w:val="20"/>
                <w:szCs w:val="20"/>
              </w:rPr>
            </w:pPr>
            <w:r>
              <w:rPr>
                <w:rFonts w:hint="eastAsia" w:ascii="宋体" w:hAnsi="宋体" w:cs="宋体"/>
                <w:kern w:val="0"/>
                <w:sz w:val="20"/>
                <w:szCs w:val="20"/>
              </w:rPr>
              <w:t>能力证明</w:t>
            </w:r>
          </w:p>
        </w:tc>
        <w:tc>
          <w:tcPr>
            <w:tcW w:w="3602" w:type="pct"/>
            <w:tcBorders>
              <w:top w:val="nil"/>
              <w:left w:val="nil"/>
              <w:bottom w:val="single" w:color="auto" w:sz="4" w:space="0"/>
              <w:right w:val="single" w:color="auto" w:sz="4" w:space="0"/>
            </w:tcBorders>
            <w:shd w:val="clear" w:color="auto" w:fill="auto"/>
            <w:vAlign w:val="center"/>
          </w:tcPr>
          <w:p w14:paraId="0BB36C73">
            <w:pPr>
              <w:widowControl/>
              <w:jc w:val="left"/>
              <w:rPr>
                <w:rFonts w:hint="eastAsia" w:ascii="宋体" w:hAnsi="宋体" w:cs="宋体"/>
                <w:kern w:val="0"/>
                <w:sz w:val="20"/>
                <w:szCs w:val="20"/>
              </w:rPr>
            </w:pPr>
            <w:r>
              <w:rPr>
                <w:rFonts w:hint="eastAsia" w:ascii="宋体" w:hAnsi="宋体" w:cs="宋体"/>
                <w:kern w:val="0"/>
                <w:sz w:val="20"/>
                <w:szCs w:val="20"/>
              </w:rPr>
              <w:t>供应商具有有效期内的环境管理体系认证（ISO14001)、质量管理体系认证（ISO9001）、</w:t>
            </w:r>
            <w:r>
              <w:fldChar w:fldCharType="begin"/>
            </w:r>
            <w:r>
              <w:instrText xml:space="preserve"> HYPERLINK "https://baike.baidu.com/item/%E8%81%8C%E4%B8%9A%E5%81%A5%E5%BA%B7%E5%AE%89%E5%85%A8/12758938?fromModule=lemma_inlink" \t "_blank" </w:instrText>
            </w:r>
            <w:r>
              <w:fldChar w:fldCharType="separate"/>
            </w:r>
            <w:r>
              <w:rPr>
                <w:rFonts w:ascii="宋体" w:hAnsi="宋体" w:cs="宋体"/>
                <w:kern w:val="0"/>
                <w:sz w:val="20"/>
                <w:szCs w:val="20"/>
              </w:rPr>
              <w:t>职业健康安全</w:t>
            </w:r>
            <w:r>
              <w:rPr>
                <w:rFonts w:ascii="宋体" w:hAnsi="宋体" w:cs="宋体"/>
                <w:kern w:val="0"/>
                <w:sz w:val="20"/>
                <w:szCs w:val="20"/>
              </w:rPr>
              <w:fldChar w:fldCharType="end"/>
            </w:r>
            <w:r>
              <w:rPr>
                <w:rFonts w:ascii="宋体" w:hAnsi="宋体" w:cs="宋体"/>
                <w:kern w:val="0"/>
                <w:sz w:val="20"/>
                <w:szCs w:val="20"/>
              </w:rPr>
              <w:t>管理体系</w:t>
            </w:r>
            <w:r>
              <w:rPr>
                <w:rFonts w:hint="eastAsia" w:ascii="宋体" w:hAnsi="宋体" w:cs="宋体"/>
                <w:kern w:val="0"/>
                <w:sz w:val="20"/>
                <w:szCs w:val="20"/>
              </w:rPr>
              <w:t>认证（</w:t>
            </w:r>
            <w:r>
              <w:rPr>
                <w:rFonts w:ascii="宋体" w:hAnsi="宋体" w:cs="宋体"/>
                <w:kern w:val="0"/>
                <w:sz w:val="20"/>
                <w:szCs w:val="20"/>
              </w:rPr>
              <w:t>ISO45001</w:t>
            </w:r>
            <w:r>
              <w:rPr>
                <w:rFonts w:hint="eastAsia" w:ascii="宋体" w:hAnsi="宋体" w:cs="宋体"/>
                <w:kern w:val="0"/>
                <w:sz w:val="20"/>
                <w:szCs w:val="20"/>
              </w:rPr>
              <w:t xml:space="preserve">）的，得2分；具有有效期内的CES环境服务认证证书—环境咨询服务认证得3分，（须提供证书复印件并加盖供应商公章，少任意一项均不得分）                                                                         </w:t>
            </w:r>
          </w:p>
        </w:tc>
        <w:tc>
          <w:tcPr>
            <w:tcW w:w="379" w:type="pct"/>
            <w:tcBorders>
              <w:top w:val="nil"/>
              <w:left w:val="nil"/>
              <w:bottom w:val="single" w:color="auto" w:sz="4" w:space="0"/>
              <w:right w:val="single" w:color="auto" w:sz="4" w:space="0"/>
            </w:tcBorders>
            <w:shd w:val="clear" w:color="auto" w:fill="auto"/>
            <w:vAlign w:val="center"/>
          </w:tcPr>
          <w:p w14:paraId="7D5420AF">
            <w:pPr>
              <w:widowControl/>
              <w:jc w:val="center"/>
              <w:rPr>
                <w:rFonts w:hint="eastAsia" w:ascii="宋体" w:hAnsi="宋体" w:cs="宋体"/>
                <w:kern w:val="0"/>
                <w:sz w:val="20"/>
                <w:szCs w:val="20"/>
              </w:rPr>
            </w:pPr>
            <w:r>
              <w:rPr>
                <w:rFonts w:hint="eastAsia" w:ascii="宋体" w:hAnsi="宋体" w:cs="宋体"/>
                <w:kern w:val="0"/>
                <w:sz w:val="20"/>
                <w:szCs w:val="20"/>
              </w:rPr>
              <w:t>5</w:t>
            </w:r>
          </w:p>
        </w:tc>
      </w:tr>
      <w:tr w14:paraId="0B4059A5">
        <w:tblPrEx>
          <w:tblCellMar>
            <w:top w:w="0" w:type="dxa"/>
            <w:left w:w="108" w:type="dxa"/>
            <w:bottom w:w="0" w:type="dxa"/>
            <w:right w:w="108" w:type="dxa"/>
          </w:tblCellMar>
        </w:tblPrEx>
        <w:trPr>
          <w:trHeight w:val="1296" w:hRule="atLeast"/>
        </w:trPr>
        <w:tc>
          <w:tcPr>
            <w:tcW w:w="482" w:type="pct"/>
            <w:vMerge w:val="continue"/>
            <w:tcBorders>
              <w:left w:val="single" w:color="auto" w:sz="4" w:space="0"/>
              <w:bottom w:val="single" w:color="auto" w:sz="4" w:space="0"/>
              <w:right w:val="single" w:color="auto" w:sz="4" w:space="0"/>
            </w:tcBorders>
            <w:vAlign w:val="center"/>
          </w:tcPr>
          <w:p w14:paraId="37C290A1">
            <w:pPr>
              <w:widowControl/>
              <w:jc w:val="left"/>
              <w:rPr>
                <w:rFonts w:hint="eastAsia" w:ascii="宋体" w:hAnsi="宋体" w:cs="宋体"/>
                <w:kern w:val="0"/>
                <w:sz w:val="20"/>
                <w:szCs w:val="20"/>
              </w:rPr>
            </w:pPr>
          </w:p>
        </w:tc>
        <w:tc>
          <w:tcPr>
            <w:tcW w:w="535" w:type="pct"/>
            <w:tcBorders>
              <w:top w:val="nil"/>
              <w:left w:val="nil"/>
              <w:bottom w:val="single" w:color="auto" w:sz="4" w:space="0"/>
              <w:right w:val="single" w:color="auto" w:sz="4" w:space="0"/>
            </w:tcBorders>
            <w:shd w:val="clear" w:color="auto" w:fill="auto"/>
            <w:vAlign w:val="center"/>
          </w:tcPr>
          <w:p w14:paraId="3E3332A7">
            <w:pPr>
              <w:widowControl/>
              <w:jc w:val="center"/>
              <w:rPr>
                <w:rFonts w:hint="eastAsia" w:ascii="宋体" w:hAnsi="宋体" w:cs="宋体"/>
                <w:kern w:val="0"/>
                <w:sz w:val="20"/>
                <w:szCs w:val="20"/>
              </w:rPr>
            </w:pPr>
            <w:r>
              <w:rPr>
                <w:rFonts w:hint="eastAsia" w:ascii="宋体" w:hAnsi="宋体" w:cs="宋体"/>
                <w:kern w:val="0"/>
                <w:sz w:val="20"/>
                <w:szCs w:val="20"/>
              </w:rPr>
              <w:t>专家</w:t>
            </w:r>
          </w:p>
          <w:p w14:paraId="4D2AF30E">
            <w:pPr>
              <w:widowControl/>
              <w:jc w:val="center"/>
              <w:rPr>
                <w:rFonts w:hint="eastAsia" w:ascii="宋体" w:hAnsi="宋体" w:cs="宋体"/>
                <w:kern w:val="0"/>
                <w:sz w:val="20"/>
                <w:szCs w:val="20"/>
              </w:rPr>
            </w:pPr>
            <w:r>
              <w:rPr>
                <w:rFonts w:hint="eastAsia" w:ascii="宋体" w:hAnsi="宋体" w:cs="宋体"/>
                <w:kern w:val="0"/>
                <w:sz w:val="20"/>
                <w:szCs w:val="20"/>
              </w:rPr>
              <w:t>队伍</w:t>
            </w:r>
          </w:p>
        </w:tc>
        <w:tc>
          <w:tcPr>
            <w:tcW w:w="3602" w:type="pct"/>
            <w:tcBorders>
              <w:top w:val="nil"/>
              <w:left w:val="nil"/>
              <w:bottom w:val="single" w:color="auto" w:sz="4" w:space="0"/>
              <w:right w:val="single" w:color="auto" w:sz="4" w:space="0"/>
            </w:tcBorders>
            <w:shd w:val="clear" w:color="auto" w:fill="auto"/>
            <w:vAlign w:val="center"/>
          </w:tcPr>
          <w:p w14:paraId="03BB3762">
            <w:pPr>
              <w:widowControl/>
              <w:jc w:val="left"/>
              <w:rPr>
                <w:rFonts w:hint="eastAsia" w:ascii="宋体" w:hAnsi="宋体" w:cs="宋体"/>
                <w:b/>
                <w:bCs/>
                <w:kern w:val="0"/>
                <w:sz w:val="20"/>
                <w:szCs w:val="20"/>
              </w:rPr>
            </w:pPr>
            <w:r>
              <w:rPr>
                <w:rFonts w:hint="eastAsia" w:ascii="宋体" w:hAnsi="宋体" w:cs="宋体"/>
                <w:kern w:val="0"/>
                <w:sz w:val="20"/>
                <w:szCs w:val="20"/>
              </w:rPr>
              <w:t>供应商具有成熟、完善的专家队伍，专家库成员具备高级（副教授）及以上技术职称专家30人（含）得基本分3分，在此基础上每增加10人得1分，本项最高得5分（响应文件中须提供专家的职称证书及专家聘用表或申请表复印件并加盖公章，不提供或提供不符合要求不得分）。</w:t>
            </w:r>
          </w:p>
        </w:tc>
        <w:tc>
          <w:tcPr>
            <w:tcW w:w="379" w:type="pct"/>
            <w:tcBorders>
              <w:top w:val="nil"/>
              <w:left w:val="nil"/>
              <w:bottom w:val="single" w:color="auto" w:sz="4" w:space="0"/>
              <w:right w:val="single" w:color="auto" w:sz="4" w:space="0"/>
            </w:tcBorders>
            <w:shd w:val="clear" w:color="auto" w:fill="auto"/>
            <w:vAlign w:val="center"/>
          </w:tcPr>
          <w:p w14:paraId="40484F2B">
            <w:pPr>
              <w:widowControl/>
              <w:jc w:val="center"/>
              <w:rPr>
                <w:rFonts w:hint="eastAsia" w:ascii="宋体" w:hAnsi="宋体" w:cs="宋体"/>
                <w:kern w:val="0"/>
                <w:sz w:val="20"/>
                <w:szCs w:val="20"/>
              </w:rPr>
            </w:pPr>
            <w:r>
              <w:rPr>
                <w:rFonts w:hint="eastAsia" w:ascii="宋体" w:hAnsi="宋体" w:cs="宋体"/>
                <w:kern w:val="0"/>
                <w:sz w:val="20"/>
                <w:szCs w:val="20"/>
              </w:rPr>
              <w:t>5</w:t>
            </w:r>
          </w:p>
        </w:tc>
      </w:tr>
      <w:tr w14:paraId="1A94ACD2">
        <w:tblPrEx>
          <w:tblCellMar>
            <w:top w:w="0" w:type="dxa"/>
            <w:left w:w="108" w:type="dxa"/>
            <w:bottom w:w="0" w:type="dxa"/>
            <w:right w:w="108" w:type="dxa"/>
          </w:tblCellMar>
        </w:tblPrEx>
        <w:trPr>
          <w:cantSplit/>
          <w:trHeight w:val="2424" w:hRule="atLeast"/>
        </w:trPr>
        <w:tc>
          <w:tcPr>
            <w:tcW w:w="482" w:type="pct"/>
            <w:vMerge w:val="restart"/>
            <w:tcBorders>
              <w:top w:val="nil"/>
              <w:left w:val="single" w:color="auto" w:sz="4" w:space="0"/>
              <w:bottom w:val="single" w:color="auto" w:sz="4" w:space="0"/>
              <w:right w:val="single" w:color="auto" w:sz="4" w:space="0"/>
            </w:tcBorders>
            <w:shd w:val="clear" w:color="auto" w:fill="auto"/>
            <w:vAlign w:val="center"/>
          </w:tcPr>
          <w:p w14:paraId="3EBBBE99">
            <w:pPr>
              <w:widowControl/>
              <w:jc w:val="center"/>
              <w:rPr>
                <w:rFonts w:hint="eastAsia" w:ascii="宋体" w:hAnsi="宋体" w:cs="宋体"/>
                <w:kern w:val="0"/>
                <w:sz w:val="20"/>
                <w:szCs w:val="20"/>
              </w:rPr>
            </w:pPr>
            <w:r>
              <w:rPr>
                <w:rFonts w:hint="eastAsia" w:ascii="宋体" w:hAnsi="宋体" w:cs="宋体"/>
                <w:kern w:val="0"/>
                <w:sz w:val="20"/>
                <w:szCs w:val="20"/>
              </w:rPr>
              <w:t>技术及服务分（4</w:t>
            </w:r>
            <w:r>
              <w:rPr>
                <w:rFonts w:hint="eastAsia" w:ascii="宋体" w:hAnsi="宋体" w:cs="宋体"/>
                <w:kern w:val="0"/>
                <w:sz w:val="20"/>
                <w:szCs w:val="20"/>
                <w:lang w:val="en-US" w:eastAsia="zh-CN"/>
              </w:rPr>
              <w:t>5</w:t>
            </w:r>
            <w:r>
              <w:rPr>
                <w:rFonts w:hint="eastAsia" w:ascii="宋体" w:hAnsi="宋体" w:cs="宋体"/>
                <w:kern w:val="0"/>
                <w:sz w:val="20"/>
                <w:szCs w:val="20"/>
              </w:rPr>
              <w:t>分）</w:t>
            </w:r>
          </w:p>
        </w:tc>
        <w:tc>
          <w:tcPr>
            <w:tcW w:w="535" w:type="pct"/>
            <w:vMerge w:val="restart"/>
            <w:tcBorders>
              <w:top w:val="nil"/>
              <w:left w:val="single" w:color="auto" w:sz="4" w:space="0"/>
              <w:bottom w:val="single" w:color="000000" w:sz="4" w:space="0"/>
              <w:right w:val="single" w:color="auto" w:sz="4" w:space="0"/>
            </w:tcBorders>
            <w:shd w:val="clear" w:color="auto" w:fill="auto"/>
            <w:vAlign w:val="center"/>
          </w:tcPr>
          <w:p w14:paraId="16D55198">
            <w:pPr>
              <w:widowControl/>
              <w:jc w:val="center"/>
              <w:rPr>
                <w:rFonts w:hint="eastAsia" w:ascii="宋体" w:hAnsi="宋体" w:cs="宋体"/>
                <w:kern w:val="0"/>
                <w:sz w:val="20"/>
                <w:szCs w:val="20"/>
              </w:rPr>
            </w:pPr>
            <w:r>
              <w:rPr>
                <w:rFonts w:hint="eastAsia" w:ascii="宋体" w:hAnsi="宋体" w:cs="宋体"/>
                <w:kern w:val="0"/>
                <w:sz w:val="20"/>
                <w:szCs w:val="20"/>
              </w:rPr>
              <w:t>服务方案</w:t>
            </w:r>
          </w:p>
          <w:p w14:paraId="438BBB23">
            <w:pPr>
              <w:widowControl/>
              <w:jc w:val="center"/>
              <w:rPr>
                <w:rFonts w:hint="eastAsia" w:ascii="宋体" w:hAnsi="宋体" w:cs="宋体"/>
                <w:kern w:val="0"/>
                <w:sz w:val="20"/>
                <w:szCs w:val="20"/>
              </w:rPr>
            </w:pPr>
            <w:r>
              <w:rPr>
                <w:rFonts w:hint="eastAsia" w:ascii="宋体" w:hAnsi="宋体" w:cs="宋体"/>
                <w:kern w:val="0"/>
                <w:sz w:val="20"/>
                <w:szCs w:val="20"/>
              </w:rPr>
              <w:t>（3</w:t>
            </w:r>
            <w:r>
              <w:rPr>
                <w:rFonts w:hint="eastAsia" w:ascii="宋体" w:hAnsi="宋体" w:cs="宋体"/>
                <w:kern w:val="0"/>
                <w:sz w:val="20"/>
                <w:szCs w:val="20"/>
                <w:lang w:val="en-US" w:eastAsia="zh-CN"/>
              </w:rPr>
              <w:t>5</w:t>
            </w:r>
            <w:r>
              <w:rPr>
                <w:rFonts w:hint="eastAsia" w:ascii="宋体" w:hAnsi="宋体" w:cs="宋体"/>
                <w:kern w:val="0"/>
                <w:sz w:val="20"/>
                <w:szCs w:val="20"/>
              </w:rPr>
              <w:t>分）</w:t>
            </w:r>
          </w:p>
        </w:tc>
        <w:tc>
          <w:tcPr>
            <w:tcW w:w="3602" w:type="pct"/>
            <w:tcBorders>
              <w:top w:val="nil"/>
              <w:left w:val="nil"/>
              <w:bottom w:val="single" w:color="auto" w:sz="4" w:space="0"/>
              <w:right w:val="single" w:color="auto" w:sz="4" w:space="0"/>
            </w:tcBorders>
            <w:shd w:val="clear" w:color="auto" w:fill="auto"/>
            <w:vAlign w:val="center"/>
          </w:tcPr>
          <w:p w14:paraId="6A74687A">
            <w:pPr>
              <w:widowControl/>
              <w:jc w:val="left"/>
              <w:rPr>
                <w:rFonts w:hint="eastAsia" w:ascii="宋体" w:hAnsi="宋体" w:cs="宋体"/>
                <w:kern w:val="0"/>
                <w:sz w:val="20"/>
                <w:szCs w:val="20"/>
              </w:rPr>
            </w:pPr>
            <w:r>
              <w:rPr>
                <w:rFonts w:hint="eastAsia" w:ascii="宋体" w:hAnsi="宋体" w:cs="宋体"/>
                <w:kern w:val="0"/>
                <w:sz w:val="20"/>
                <w:szCs w:val="20"/>
              </w:rPr>
              <w:t>供应商提供的服务方案，根据各</w:t>
            </w:r>
            <w:r>
              <w:rPr>
                <w:rFonts w:hint="eastAsia"/>
              </w:rPr>
              <w:t>供应商</w:t>
            </w:r>
            <w:r>
              <w:rPr>
                <w:rFonts w:hint="eastAsia" w:ascii="宋体" w:hAnsi="宋体" w:cs="宋体"/>
                <w:kern w:val="0"/>
                <w:sz w:val="20"/>
                <w:szCs w:val="20"/>
              </w:rPr>
              <w:t>提供的方案详细程度、技术路线准确程度以及对本项目服务背景和要求的理解进行综合评定。</w:t>
            </w:r>
          </w:p>
          <w:p w14:paraId="02B384AA">
            <w:pPr>
              <w:widowControl/>
              <w:numPr>
                <w:ilvl w:val="0"/>
                <w:numId w:val="3"/>
              </w:numPr>
              <w:tabs>
                <w:tab w:val="left" w:pos="220"/>
                <w:tab w:val="clear" w:pos="312"/>
              </w:tabs>
              <w:jc w:val="left"/>
              <w:rPr>
                <w:rFonts w:hint="eastAsia" w:ascii="宋体" w:hAnsi="宋体" w:cs="宋体"/>
                <w:kern w:val="0"/>
                <w:sz w:val="20"/>
                <w:szCs w:val="20"/>
              </w:rPr>
            </w:pPr>
            <w:r>
              <w:rPr>
                <w:rFonts w:hint="eastAsia" w:ascii="宋体" w:hAnsi="宋体" w:cs="宋体"/>
                <w:kern w:val="0"/>
                <w:sz w:val="20"/>
                <w:szCs w:val="20"/>
              </w:rPr>
              <w:t>服务方案最详细、技术路线最准确，对本项目背景及要求理解最全面的得</w:t>
            </w:r>
            <w:r>
              <w:rPr>
                <w:rFonts w:hint="eastAsia" w:ascii="宋体" w:hAnsi="宋体" w:cs="宋体"/>
                <w:kern w:val="0"/>
                <w:sz w:val="20"/>
                <w:szCs w:val="20"/>
                <w:lang w:val="en-US" w:eastAsia="zh-CN"/>
              </w:rPr>
              <w:t>20</w:t>
            </w:r>
            <w:r>
              <w:rPr>
                <w:rFonts w:hint="eastAsia" w:ascii="宋体" w:hAnsi="宋体" w:cs="宋体"/>
                <w:kern w:val="0"/>
                <w:sz w:val="20"/>
                <w:szCs w:val="20"/>
              </w:rPr>
              <w:t>分；</w:t>
            </w:r>
          </w:p>
          <w:p w14:paraId="77F89B45">
            <w:pPr>
              <w:widowControl/>
              <w:numPr>
                <w:ilvl w:val="0"/>
                <w:numId w:val="3"/>
              </w:numPr>
              <w:tabs>
                <w:tab w:val="left" w:pos="220"/>
                <w:tab w:val="clear" w:pos="312"/>
              </w:tabs>
              <w:jc w:val="left"/>
              <w:rPr>
                <w:rFonts w:hint="eastAsia" w:ascii="宋体" w:hAnsi="宋体" w:cs="宋体"/>
                <w:kern w:val="0"/>
                <w:sz w:val="20"/>
                <w:szCs w:val="20"/>
              </w:rPr>
            </w:pPr>
            <w:r>
              <w:rPr>
                <w:rFonts w:hint="eastAsia" w:ascii="宋体" w:hAnsi="宋体" w:cs="宋体"/>
                <w:kern w:val="0"/>
                <w:sz w:val="20"/>
                <w:szCs w:val="20"/>
              </w:rPr>
              <w:t>服务方案较详细，技术路线较准确，且本项目背景及要求理解的较全面的得10分；</w:t>
            </w:r>
          </w:p>
          <w:p w14:paraId="0C8D5B5B">
            <w:pPr>
              <w:widowControl/>
              <w:numPr>
                <w:ilvl w:val="0"/>
                <w:numId w:val="3"/>
              </w:numPr>
              <w:tabs>
                <w:tab w:val="left" w:pos="220"/>
                <w:tab w:val="clear" w:pos="312"/>
              </w:tabs>
              <w:jc w:val="left"/>
              <w:rPr>
                <w:rFonts w:hint="eastAsia" w:ascii="宋体" w:hAnsi="宋体" w:cs="宋体"/>
                <w:kern w:val="0"/>
                <w:sz w:val="20"/>
                <w:szCs w:val="20"/>
              </w:rPr>
            </w:pPr>
            <w:r>
              <w:rPr>
                <w:rFonts w:hint="eastAsia" w:ascii="宋体" w:hAnsi="宋体" w:cs="宋体"/>
                <w:kern w:val="0"/>
                <w:sz w:val="20"/>
                <w:szCs w:val="20"/>
              </w:rPr>
              <w:t>服务方案简单，技术路线较准确，对本项目服务背景及要求理解的一般的得5分；</w:t>
            </w:r>
          </w:p>
          <w:p w14:paraId="62971976">
            <w:pPr>
              <w:widowControl/>
              <w:numPr>
                <w:ilvl w:val="0"/>
                <w:numId w:val="3"/>
              </w:numPr>
              <w:tabs>
                <w:tab w:val="left" w:pos="220"/>
                <w:tab w:val="clear" w:pos="312"/>
              </w:tabs>
              <w:jc w:val="left"/>
              <w:rPr>
                <w:rFonts w:hint="eastAsia" w:ascii="宋体" w:hAnsi="宋体" w:cs="宋体"/>
                <w:kern w:val="0"/>
                <w:sz w:val="20"/>
                <w:szCs w:val="20"/>
              </w:rPr>
            </w:pPr>
            <w:r>
              <w:rPr>
                <w:rFonts w:hint="eastAsia" w:ascii="宋体" w:hAnsi="宋体" w:cs="宋体"/>
                <w:kern w:val="0"/>
                <w:sz w:val="20"/>
                <w:szCs w:val="20"/>
              </w:rPr>
              <w:t>服务方案过于简单、不了解本项目背景及要求的不得分。</w:t>
            </w:r>
          </w:p>
        </w:tc>
        <w:tc>
          <w:tcPr>
            <w:tcW w:w="379" w:type="pct"/>
            <w:tcBorders>
              <w:top w:val="nil"/>
              <w:left w:val="nil"/>
              <w:bottom w:val="single" w:color="auto" w:sz="4" w:space="0"/>
              <w:right w:val="single" w:color="auto" w:sz="4" w:space="0"/>
            </w:tcBorders>
            <w:shd w:val="clear" w:color="auto" w:fill="auto"/>
            <w:vAlign w:val="center"/>
          </w:tcPr>
          <w:p w14:paraId="59B8A559">
            <w:pPr>
              <w:widowControl/>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20</w:t>
            </w:r>
          </w:p>
        </w:tc>
      </w:tr>
      <w:tr w14:paraId="0F4E4FA6">
        <w:tblPrEx>
          <w:tblCellMar>
            <w:top w:w="0" w:type="dxa"/>
            <w:left w:w="108" w:type="dxa"/>
            <w:bottom w:w="0" w:type="dxa"/>
            <w:right w:w="108" w:type="dxa"/>
          </w:tblCellMar>
        </w:tblPrEx>
        <w:trPr>
          <w:trHeight w:val="1644" w:hRule="atLeast"/>
        </w:trPr>
        <w:tc>
          <w:tcPr>
            <w:tcW w:w="482" w:type="pct"/>
            <w:vMerge w:val="continue"/>
            <w:tcBorders>
              <w:top w:val="nil"/>
              <w:left w:val="single" w:color="auto" w:sz="4" w:space="0"/>
              <w:bottom w:val="single" w:color="auto" w:sz="4" w:space="0"/>
              <w:right w:val="single" w:color="auto" w:sz="4" w:space="0"/>
            </w:tcBorders>
            <w:vAlign w:val="center"/>
          </w:tcPr>
          <w:p w14:paraId="54B6B21B">
            <w:pPr>
              <w:widowControl/>
              <w:jc w:val="left"/>
              <w:rPr>
                <w:rFonts w:hint="eastAsia" w:ascii="宋体" w:hAnsi="宋体" w:cs="宋体"/>
                <w:kern w:val="0"/>
                <w:sz w:val="20"/>
                <w:szCs w:val="20"/>
              </w:rPr>
            </w:pPr>
          </w:p>
        </w:tc>
        <w:tc>
          <w:tcPr>
            <w:tcW w:w="535" w:type="pct"/>
            <w:vMerge w:val="continue"/>
            <w:tcBorders>
              <w:top w:val="nil"/>
              <w:left w:val="single" w:color="auto" w:sz="4" w:space="0"/>
              <w:bottom w:val="single" w:color="000000" w:sz="4" w:space="0"/>
              <w:right w:val="single" w:color="auto" w:sz="4" w:space="0"/>
            </w:tcBorders>
            <w:vAlign w:val="center"/>
          </w:tcPr>
          <w:p w14:paraId="7FDB8A06">
            <w:pPr>
              <w:widowControl/>
              <w:jc w:val="left"/>
              <w:rPr>
                <w:rFonts w:hint="eastAsia" w:ascii="宋体" w:hAnsi="宋体" w:cs="宋体"/>
                <w:kern w:val="0"/>
                <w:sz w:val="20"/>
                <w:szCs w:val="20"/>
              </w:rPr>
            </w:pPr>
          </w:p>
        </w:tc>
        <w:tc>
          <w:tcPr>
            <w:tcW w:w="3602" w:type="pct"/>
            <w:tcBorders>
              <w:top w:val="nil"/>
              <w:left w:val="nil"/>
              <w:bottom w:val="single" w:color="auto" w:sz="4" w:space="0"/>
              <w:right w:val="single" w:color="auto" w:sz="4" w:space="0"/>
            </w:tcBorders>
            <w:shd w:val="clear" w:color="auto" w:fill="auto"/>
            <w:vAlign w:val="center"/>
          </w:tcPr>
          <w:p w14:paraId="5189E1C8">
            <w:pPr>
              <w:widowControl/>
              <w:jc w:val="left"/>
              <w:rPr>
                <w:rFonts w:hint="eastAsia" w:ascii="宋体" w:hAnsi="宋体" w:cs="宋体"/>
                <w:kern w:val="0"/>
                <w:sz w:val="20"/>
                <w:szCs w:val="20"/>
              </w:rPr>
            </w:pPr>
            <w:r>
              <w:rPr>
                <w:rFonts w:hint="eastAsia" w:ascii="宋体" w:hAnsi="宋体" w:cs="宋体"/>
                <w:kern w:val="0"/>
                <w:sz w:val="20"/>
                <w:szCs w:val="20"/>
              </w:rPr>
              <w:t>供应商提供的服务方案，根据各供应商提供的方案的工作进度计划、服务保证措施进行综合评定。</w:t>
            </w:r>
          </w:p>
          <w:p w14:paraId="441EF541">
            <w:pPr>
              <w:widowControl/>
              <w:numPr>
                <w:ilvl w:val="0"/>
                <w:numId w:val="4"/>
              </w:numPr>
              <w:tabs>
                <w:tab w:val="left" w:pos="220"/>
                <w:tab w:val="clear" w:pos="312"/>
              </w:tabs>
              <w:jc w:val="left"/>
              <w:rPr>
                <w:rFonts w:hint="eastAsia" w:ascii="宋体" w:hAnsi="宋体" w:cs="宋体"/>
                <w:kern w:val="0"/>
                <w:sz w:val="20"/>
                <w:szCs w:val="20"/>
              </w:rPr>
            </w:pPr>
            <w:r>
              <w:rPr>
                <w:rFonts w:hint="eastAsia" w:ascii="宋体" w:hAnsi="宋体" w:cs="宋体"/>
                <w:kern w:val="0"/>
                <w:sz w:val="20"/>
                <w:szCs w:val="20"/>
              </w:rPr>
              <w:t>服务方案中工作进度计划、服务保证措施最详细的得15分；</w:t>
            </w:r>
          </w:p>
          <w:p w14:paraId="36694F08">
            <w:pPr>
              <w:widowControl/>
              <w:numPr>
                <w:ilvl w:val="0"/>
                <w:numId w:val="4"/>
              </w:numPr>
              <w:tabs>
                <w:tab w:val="left" w:pos="220"/>
                <w:tab w:val="clear" w:pos="312"/>
              </w:tabs>
              <w:jc w:val="left"/>
              <w:rPr>
                <w:rFonts w:hint="eastAsia" w:ascii="宋体" w:hAnsi="宋体" w:cs="宋体"/>
                <w:kern w:val="0"/>
                <w:sz w:val="20"/>
                <w:szCs w:val="20"/>
              </w:rPr>
            </w:pPr>
            <w:r>
              <w:rPr>
                <w:rFonts w:hint="eastAsia" w:ascii="宋体" w:hAnsi="宋体" w:cs="宋体"/>
                <w:kern w:val="0"/>
                <w:sz w:val="20"/>
                <w:szCs w:val="20"/>
              </w:rPr>
              <w:t>服务方案中工作进度计划、服务保证措施较详细的得10分；</w:t>
            </w:r>
          </w:p>
          <w:p w14:paraId="00DE0145">
            <w:pPr>
              <w:widowControl/>
              <w:numPr>
                <w:ilvl w:val="0"/>
                <w:numId w:val="4"/>
              </w:numPr>
              <w:tabs>
                <w:tab w:val="left" w:pos="220"/>
                <w:tab w:val="clear" w:pos="312"/>
              </w:tabs>
              <w:jc w:val="left"/>
              <w:rPr>
                <w:rFonts w:hint="eastAsia" w:ascii="宋体" w:hAnsi="宋体" w:cs="宋体"/>
                <w:kern w:val="0"/>
                <w:sz w:val="20"/>
                <w:szCs w:val="20"/>
              </w:rPr>
            </w:pPr>
            <w:r>
              <w:rPr>
                <w:rFonts w:hint="eastAsia" w:ascii="宋体" w:hAnsi="宋体" w:cs="宋体"/>
                <w:kern w:val="0"/>
                <w:sz w:val="20"/>
                <w:szCs w:val="20"/>
              </w:rPr>
              <w:t>服务方案中工作进度计划、服务保证措施一般的得5分；</w:t>
            </w:r>
          </w:p>
          <w:p w14:paraId="244B0EAE">
            <w:pPr>
              <w:widowControl/>
              <w:numPr>
                <w:ilvl w:val="0"/>
                <w:numId w:val="4"/>
              </w:numPr>
              <w:tabs>
                <w:tab w:val="left" w:pos="220"/>
                <w:tab w:val="clear" w:pos="312"/>
              </w:tabs>
              <w:jc w:val="left"/>
              <w:rPr>
                <w:rFonts w:hint="eastAsia" w:ascii="宋体" w:hAnsi="宋体" w:cs="宋体"/>
                <w:kern w:val="0"/>
                <w:sz w:val="20"/>
                <w:szCs w:val="20"/>
              </w:rPr>
            </w:pPr>
            <w:r>
              <w:rPr>
                <w:rFonts w:hint="eastAsia" w:ascii="宋体" w:hAnsi="宋体" w:cs="宋体"/>
                <w:kern w:val="0"/>
                <w:sz w:val="20"/>
                <w:szCs w:val="20"/>
              </w:rPr>
              <w:t>服务方案中工作进度计划、服务保证措施过于简单的不得分。</w:t>
            </w:r>
          </w:p>
        </w:tc>
        <w:tc>
          <w:tcPr>
            <w:tcW w:w="379" w:type="pct"/>
            <w:tcBorders>
              <w:top w:val="nil"/>
              <w:left w:val="nil"/>
              <w:bottom w:val="single" w:color="auto" w:sz="4" w:space="0"/>
              <w:right w:val="single" w:color="auto" w:sz="4" w:space="0"/>
            </w:tcBorders>
            <w:shd w:val="clear" w:color="auto" w:fill="auto"/>
            <w:vAlign w:val="center"/>
          </w:tcPr>
          <w:p w14:paraId="6E7EDE7C">
            <w:pPr>
              <w:widowControl/>
              <w:jc w:val="center"/>
              <w:rPr>
                <w:rFonts w:hint="eastAsia" w:ascii="宋体" w:hAnsi="宋体" w:cs="宋体"/>
                <w:kern w:val="0"/>
                <w:sz w:val="20"/>
                <w:szCs w:val="20"/>
              </w:rPr>
            </w:pPr>
            <w:r>
              <w:rPr>
                <w:rFonts w:hint="eastAsia" w:ascii="宋体" w:hAnsi="宋体" w:cs="宋体"/>
                <w:kern w:val="0"/>
                <w:sz w:val="20"/>
                <w:szCs w:val="20"/>
              </w:rPr>
              <w:t>15</w:t>
            </w:r>
          </w:p>
        </w:tc>
      </w:tr>
      <w:tr w14:paraId="503102C4">
        <w:tblPrEx>
          <w:tblCellMar>
            <w:top w:w="0" w:type="dxa"/>
            <w:left w:w="108" w:type="dxa"/>
            <w:bottom w:w="0" w:type="dxa"/>
            <w:right w:w="108" w:type="dxa"/>
          </w:tblCellMar>
        </w:tblPrEx>
        <w:trPr>
          <w:trHeight w:val="936" w:hRule="atLeast"/>
        </w:trPr>
        <w:tc>
          <w:tcPr>
            <w:tcW w:w="482" w:type="pct"/>
            <w:vMerge w:val="continue"/>
            <w:tcBorders>
              <w:top w:val="nil"/>
              <w:left w:val="single" w:color="auto" w:sz="4" w:space="0"/>
              <w:bottom w:val="single" w:color="auto" w:sz="4" w:space="0"/>
              <w:right w:val="single" w:color="auto" w:sz="4" w:space="0"/>
            </w:tcBorders>
            <w:vAlign w:val="center"/>
          </w:tcPr>
          <w:p w14:paraId="4A524F06">
            <w:pPr>
              <w:widowControl/>
              <w:jc w:val="left"/>
              <w:rPr>
                <w:rFonts w:hint="eastAsia" w:ascii="宋体" w:hAnsi="宋体" w:cs="宋体"/>
                <w:kern w:val="0"/>
                <w:sz w:val="20"/>
                <w:szCs w:val="20"/>
              </w:rPr>
            </w:pPr>
          </w:p>
        </w:tc>
        <w:tc>
          <w:tcPr>
            <w:tcW w:w="535" w:type="pct"/>
            <w:vMerge w:val="restart"/>
            <w:tcBorders>
              <w:top w:val="nil"/>
              <w:left w:val="nil"/>
              <w:right w:val="single" w:color="auto" w:sz="4" w:space="0"/>
            </w:tcBorders>
            <w:shd w:val="clear" w:color="auto" w:fill="auto"/>
            <w:vAlign w:val="center"/>
          </w:tcPr>
          <w:p w14:paraId="52AE6A1A">
            <w:pPr>
              <w:jc w:val="center"/>
              <w:rPr>
                <w:rFonts w:hint="eastAsia" w:ascii="宋体" w:hAnsi="宋体" w:cs="宋体"/>
                <w:kern w:val="0"/>
                <w:sz w:val="20"/>
                <w:szCs w:val="20"/>
              </w:rPr>
            </w:pPr>
            <w:r>
              <w:rPr>
                <w:rFonts w:hint="eastAsia" w:ascii="宋体" w:hAnsi="宋体" w:cs="宋体"/>
                <w:kern w:val="0"/>
                <w:sz w:val="20"/>
                <w:szCs w:val="20"/>
              </w:rPr>
              <w:t>项目团队（10分）</w:t>
            </w:r>
          </w:p>
        </w:tc>
        <w:tc>
          <w:tcPr>
            <w:tcW w:w="3602" w:type="pct"/>
            <w:tcBorders>
              <w:top w:val="nil"/>
              <w:left w:val="nil"/>
              <w:bottom w:val="single" w:color="auto" w:sz="4" w:space="0"/>
              <w:right w:val="single" w:color="auto" w:sz="4" w:space="0"/>
            </w:tcBorders>
            <w:shd w:val="clear" w:color="auto" w:fill="auto"/>
            <w:vAlign w:val="center"/>
          </w:tcPr>
          <w:p w14:paraId="082947E2">
            <w:pPr>
              <w:widowControl/>
              <w:jc w:val="left"/>
              <w:rPr>
                <w:rFonts w:hint="eastAsia" w:ascii="宋体" w:hAnsi="宋体" w:cs="宋体"/>
                <w:kern w:val="0"/>
                <w:sz w:val="20"/>
                <w:szCs w:val="20"/>
              </w:rPr>
            </w:pPr>
            <w:r>
              <w:rPr>
                <w:rFonts w:hint="eastAsia" w:ascii="宋体" w:hAnsi="宋体" w:cs="宋体"/>
                <w:kern w:val="0"/>
                <w:sz w:val="20"/>
                <w:szCs w:val="20"/>
              </w:rPr>
              <w:t>供应商拟担任本项目的项目负责人具有生态环境类高级工程师职称的得4分（须提供职称证书复印件并加盖供应商公章，及</w:t>
            </w:r>
            <w:r>
              <w:rPr>
                <w:rFonts w:ascii="宋体" w:hAnsi="宋体" w:cs="宋体"/>
                <w:kern w:val="0"/>
                <w:sz w:val="20"/>
                <w:szCs w:val="20"/>
              </w:rPr>
              <w:t>由区级及以上社保部门出具的近三个月任意一个月（不含</w:t>
            </w:r>
            <w:r>
              <w:rPr>
                <w:rFonts w:hint="eastAsia" w:ascii="宋体" w:hAnsi="宋体" w:cs="宋体"/>
                <w:kern w:val="0"/>
                <w:sz w:val="20"/>
                <w:szCs w:val="20"/>
              </w:rPr>
              <w:t>响应</w:t>
            </w:r>
            <w:r>
              <w:rPr>
                <w:rFonts w:ascii="宋体" w:hAnsi="宋体" w:cs="宋体"/>
                <w:kern w:val="0"/>
                <w:sz w:val="20"/>
                <w:szCs w:val="20"/>
              </w:rPr>
              <w:t>当月）的</w:t>
            </w:r>
            <w:r>
              <w:rPr>
                <w:rFonts w:hint="eastAsia" w:ascii="宋体" w:hAnsi="宋体" w:cs="宋体"/>
                <w:kern w:val="0"/>
                <w:sz w:val="20"/>
                <w:szCs w:val="20"/>
              </w:rPr>
              <w:t>供应商</w:t>
            </w:r>
            <w:r>
              <w:rPr>
                <w:rFonts w:ascii="宋体" w:hAnsi="宋体" w:cs="宋体"/>
                <w:kern w:val="0"/>
                <w:sz w:val="20"/>
                <w:szCs w:val="20"/>
              </w:rPr>
              <w:t>为其缴纳的社保缴费证明，社保缴费证明必须提交带有社保部门红章或含有县(区)级及以上社保部门电子签章或带二维码验证的扫描件，</w:t>
            </w:r>
            <w:r>
              <w:rPr>
                <w:rFonts w:hint="eastAsia" w:ascii="宋体" w:hAnsi="宋体" w:cs="宋体"/>
                <w:kern w:val="0"/>
                <w:sz w:val="20"/>
                <w:szCs w:val="20"/>
              </w:rPr>
              <w:t>未</w:t>
            </w:r>
            <w:r>
              <w:rPr>
                <w:rFonts w:ascii="宋体" w:hAnsi="宋体" w:cs="宋体"/>
                <w:kern w:val="0"/>
                <w:sz w:val="20"/>
                <w:szCs w:val="20"/>
              </w:rPr>
              <w:t>提供或</w:t>
            </w:r>
            <w:r>
              <w:rPr>
                <w:rFonts w:hint="eastAsia" w:ascii="宋体" w:hAnsi="宋体" w:cs="宋体"/>
                <w:kern w:val="0"/>
                <w:sz w:val="20"/>
                <w:szCs w:val="20"/>
              </w:rPr>
              <w:t>不符合要求的</w:t>
            </w:r>
            <w:r>
              <w:rPr>
                <w:rFonts w:ascii="宋体" w:hAnsi="宋体" w:cs="宋体"/>
                <w:kern w:val="0"/>
                <w:sz w:val="20"/>
                <w:szCs w:val="20"/>
              </w:rPr>
              <w:t>不得分）。</w:t>
            </w:r>
          </w:p>
        </w:tc>
        <w:tc>
          <w:tcPr>
            <w:tcW w:w="379" w:type="pct"/>
            <w:tcBorders>
              <w:top w:val="nil"/>
              <w:left w:val="nil"/>
              <w:bottom w:val="single" w:color="auto" w:sz="4" w:space="0"/>
              <w:right w:val="single" w:color="auto" w:sz="4" w:space="0"/>
            </w:tcBorders>
            <w:shd w:val="clear" w:color="auto" w:fill="auto"/>
            <w:vAlign w:val="center"/>
          </w:tcPr>
          <w:p w14:paraId="32B753D0">
            <w:pPr>
              <w:widowControl/>
              <w:jc w:val="center"/>
              <w:rPr>
                <w:rFonts w:hint="eastAsia" w:ascii="宋体" w:hAnsi="宋体" w:cs="宋体"/>
                <w:kern w:val="0"/>
                <w:sz w:val="20"/>
                <w:szCs w:val="20"/>
              </w:rPr>
            </w:pPr>
            <w:r>
              <w:rPr>
                <w:rFonts w:hint="eastAsia" w:ascii="宋体" w:hAnsi="宋体" w:cs="宋体"/>
                <w:kern w:val="0"/>
                <w:sz w:val="20"/>
                <w:szCs w:val="20"/>
              </w:rPr>
              <w:t>4</w:t>
            </w:r>
          </w:p>
        </w:tc>
      </w:tr>
      <w:tr w14:paraId="6AAB0ECC">
        <w:tblPrEx>
          <w:tblCellMar>
            <w:top w:w="0" w:type="dxa"/>
            <w:left w:w="108" w:type="dxa"/>
            <w:bottom w:w="0" w:type="dxa"/>
            <w:right w:w="108" w:type="dxa"/>
          </w:tblCellMar>
        </w:tblPrEx>
        <w:trPr>
          <w:trHeight w:val="1044" w:hRule="atLeast"/>
        </w:trPr>
        <w:tc>
          <w:tcPr>
            <w:tcW w:w="482" w:type="pct"/>
            <w:vMerge w:val="continue"/>
            <w:tcBorders>
              <w:top w:val="nil"/>
              <w:left w:val="single" w:color="auto" w:sz="4" w:space="0"/>
              <w:bottom w:val="single" w:color="auto" w:sz="4" w:space="0"/>
              <w:right w:val="single" w:color="auto" w:sz="4" w:space="0"/>
            </w:tcBorders>
            <w:vAlign w:val="center"/>
          </w:tcPr>
          <w:p w14:paraId="5297CCE7">
            <w:pPr>
              <w:widowControl/>
              <w:jc w:val="left"/>
              <w:rPr>
                <w:rFonts w:hint="eastAsia" w:ascii="宋体" w:hAnsi="宋体" w:cs="宋体"/>
                <w:kern w:val="0"/>
                <w:sz w:val="20"/>
                <w:szCs w:val="20"/>
              </w:rPr>
            </w:pPr>
          </w:p>
        </w:tc>
        <w:tc>
          <w:tcPr>
            <w:tcW w:w="535" w:type="pct"/>
            <w:vMerge w:val="continue"/>
            <w:tcBorders>
              <w:left w:val="nil"/>
              <w:bottom w:val="single" w:color="auto" w:sz="4" w:space="0"/>
              <w:right w:val="single" w:color="auto" w:sz="4" w:space="0"/>
            </w:tcBorders>
            <w:shd w:val="clear" w:color="auto" w:fill="auto"/>
            <w:vAlign w:val="center"/>
          </w:tcPr>
          <w:p w14:paraId="249C9602">
            <w:pPr>
              <w:widowControl/>
              <w:jc w:val="center"/>
              <w:rPr>
                <w:rFonts w:hint="eastAsia" w:ascii="宋体" w:hAnsi="宋体" w:cs="宋体"/>
                <w:kern w:val="0"/>
                <w:sz w:val="20"/>
                <w:szCs w:val="20"/>
              </w:rPr>
            </w:pPr>
          </w:p>
        </w:tc>
        <w:tc>
          <w:tcPr>
            <w:tcW w:w="3602" w:type="pct"/>
            <w:tcBorders>
              <w:top w:val="nil"/>
              <w:left w:val="nil"/>
              <w:bottom w:val="single" w:color="auto" w:sz="4" w:space="0"/>
              <w:right w:val="single" w:color="auto" w:sz="4" w:space="0"/>
            </w:tcBorders>
            <w:shd w:val="clear" w:color="auto" w:fill="auto"/>
            <w:vAlign w:val="center"/>
          </w:tcPr>
          <w:p w14:paraId="26338745">
            <w:pPr>
              <w:widowControl/>
              <w:jc w:val="left"/>
              <w:rPr>
                <w:rFonts w:hint="eastAsia" w:ascii="宋体" w:hAnsi="宋体" w:cs="宋体"/>
                <w:kern w:val="0"/>
                <w:sz w:val="20"/>
                <w:szCs w:val="20"/>
              </w:rPr>
            </w:pPr>
            <w:r>
              <w:rPr>
                <w:rFonts w:hint="eastAsia" w:ascii="宋体" w:hAnsi="宋体" w:cs="宋体"/>
                <w:kern w:val="0"/>
                <w:sz w:val="20"/>
                <w:szCs w:val="20"/>
              </w:rPr>
              <w:t>供应商拟配备于本项目的技术人员（项目负责人除外）：具备生态环境类专业高级职称的，每有1人得2分，最高得6分（须提供职称证书复印件并加盖供应商公章，及</w:t>
            </w:r>
            <w:r>
              <w:rPr>
                <w:rFonts w:ascii="宋体" w:hAnsi="宋体" w:cs="宋体"/>
                <w:kern w:val="0"/>
                <w:sz w:val="20"/>
                <w:szCs w:val="20"/>
              </w:rPr>
              <w:t>由区级及以上社保部门出具的近三个月任意一个月（不含</w:t>
            </w:r>
            <w:r>
              <w:rPr>
                <w:rFonts w:hint="eastAsia" w:ascii="宋体" w:hAnsi="宋体" w:cs="宋体"/>
                <w:kern w:val="0"/>
                <w:sz w:val="20"/>
                <w:szCs w:val="20"/>
              </w:rPr>
              <w:t>响应</w:t>
            </w:r>
            <w:r>
              <w:rPr>
                <w:rFonts w:ascii="宋体" w:hAnsi="宋体" w:cs="宋体"/>
                <w:kern w:val="0"/>
                <w:sz w:val="20"/>
                <w:szCs w:val="20"/>
              </w:rPr>
              <w:t>当月）的</w:t>
            </w:r>
            <w:r>
              <w:rPr>
                <w:rFonts w:hint="eastAsia" w:ascii="宋体" w:hAnsi="宋体" w:cs="宋体"/>
                <w:kern w:val="0"/>
                <w:sz w:val="20"/>
                <w:szCs w:val="20"/>
              </w:rPr>
              <w:t>供应商</w:t>
            </w:r>
            <w:r>
              <w:rPr>
                <w:rFonts w:ascii="宋体" w:hAnsi="宋体" w:cs="宋体"/>
                <w:kern w:val="0"/>
                <w:sz w:val="20"/>
                <w:szCs w:val="20"/>
              </w:rPr>
              <w:t>为其缴纳的社保缴费证明，社保缴费证明必须提交带有社保部门红章或含有县(区)级及以上社保部门电子签章或带二维码验证的扫描件，</w:t>
            </w:r>
            <w:r>
              <w:rPr>
                <w:rFonts w:hint="eastAsia" w:ascii="宋体" w:hAnsi="宋体" w:cs="宋体"/>
                <w:kern w:val="0"/>
                <w:sz w:val="20"/>
                <w:szCs w:val="20"/>
              </w:rPr>
              <w:t>未</w:t>
            </w:r>
            <w:r>
              <w:rPr>
                <w:rFonts w:ascii="宋体" w:hAnsi="宋体" w:cs="宋体"/>
                <w:kern w:val="0"/>
                <w:sz w:val="20"/>
                <w:szCs w:val="20"/>
              </w:rPr>
              <w:t>提供或</w:t>
            </w:r>
            <w:r>
              <w:rPr>
                <w:rFonts w:hint="eastAsia" w:ascii="宋体" w:hAnsi="宋体" w:cs="宋体"/>
                <w:kern w:val="0"/>
                <w:sz w:val="20"/>
                <w:szCs w:val="20"/>
              </w:rPr>
              <w:t>不符合要求的</w:t>
            </w:r>
            <w:r>
              <w:rPr>
                <w:rFonts w:ascii="宋体" w:hAnsi="宋体" w:cs="宋体"/>
                <w:kern w:val="0"/>
                <w:sz w:val="20"/>
                <w:szCs w:val="20"/>
              </w:rPr>
              <w:t>不得分</w:t>
            </w:r>
            <w:r>
              <w:rPr>
                <w:rFonts w:hint="eastAsia" w:ascii="宋体" w:hAnsi="宋体" w:cs="宋体"/>
                <w:kern w:val="0"/>
                <w:sz w:val="20"/>
                <w:szCs w:val="20"/>
              </w:rPr>
              <w:t>）</w:t>
            </w:r>
          </w:p>
        </w:tc>
        <w:tc>
          <w:tcPr>
            <w:tcW w:w="379" w:type="pct"/>
            <w:tcBorders>
              <w:top w:val="nil"/>
              <w:left w:val="nil"/>
              <w:bottom w:val="single" w:color="auto" w:sz="4" w:space="0"/>
              <w:right w:val="single" w:color="auto" w:sz="4" w:space="0"/>
            </w:tcBorders>
            <w:shd w:val="clear" w:color="auto" w:fill="auto"/>
            <w:vAlign w:val="center"/>
          </w:tcPr>
          <w:p w14:paraId="21D932EB">
            <w:pPr>
              <w:widowControl/>
              <w:jc w:val="center"/>
              <w:rPr>
                <w:rFonts w:hint="eastAsia" w:ascii="宋体" w:hAnsi="宋体" w:cs="宋体"/>
                <w:kern w:val="0"/>
                <w:sz w:val="20"/>
                <w:szCs w:val="20"/>
              </w:rPr>
            </w:pPr>
            <w:r>
              <w:rPr>
                <w:rFonts w:hint="eastAsia" w:ascii="宋体" w:hAnsi="宋体" w:cs="宋体"/>
                <w:kern w:val="0"/>
                <w:sz w:val="20"/>
                <w:szCs w:val="20"/>
              </w:rPr>
              <w:t>6</w:t>
            </w:r>
          </w:p>
        </w:tc>
      </w:tr>
    </w:tbl>
    <w:p w14:paraId="25FFFB83">
      <w:bookmarkStart w:id="55" w:name="_Toc16248793"/>
      <w:bookmarkStart w:id="56" w:name="_Toc16164363"/>
    </w:p>
    <w:p w14:paraId="52414FB2">
      <w:pPr>
        <w:widowControl/>
        <w:jc w:val="left"/>
        <w:rPr>
          <w:b/>
          <w:bCs/>
          <w:kern w:val="44"/>
          <w:sz w:val="36"/>
          <w:szCs w:val="44"/>
          <w:lang w:val="zh-CN"/>
        </w:rPr>
      </w:pPr>
      <w:r>
        <w:br w:type="page"/>
      </w:r>
    </w:p>
    <w:p w14:paraId="0D12575A">
      <w:pPr>
        <w:pStyle w:val="3"/>
      </w:pPr>
      <w:r>
        <w:rPr>
          <w:rFonts w:hint="eastAsia"/>
        </w:rPr>
        <w:t>第五章  合同文本（格式）</w:t>
      </w:r>
      <w:bookmarkEnd w:id="55"/>
      <w:bookmarkEnd w:id="56"/>
    </w:p>
    <w:p w14:paraId="2F445065">
      <w:pPr>
        <w:autoSpaceDE w:val="0"/>
        <w:autoSpaceDN w:val="0"/>
        <w:adjustRightInd w:val="0"/>
        <w:spacing w:line="360" w:lineRule="auto"/>
        <w:jc w:val="center"/>
        <w:rPr>
          <w:rFonts w:hint="eastAsia" w:ascii="宋体" w:hAnsi="宋体" w:cs="宋体"/>
          <w:b/>
          <w:bCs/>
          <w:color w:val="000000"/>
          <w:kern w:val="0"/>
          <w:sz w:val="48"/>
          <w:szCs w:val="48"/>
        </w:rPr>
      </w:pPr>
    </w:p>
    <w:p w14:paraId="0EC57627">
      <w:pPr>
        <w:autoSpaceDE w:val="0"/>
        <w:autoSpaceDN w:val="0"/>
        <w:adjustRightInd w:val="0"/>
        <w:spacing w:line="360" w:lineRule="auto"/>
        <w:jc w:val="center"/>
        <w:rPr>
          <w:rFonts w:hint="eastAsia" w:ascii="宋体" w:hAnsi="宋体" w:cs="宋体"/>
          <w:b/>
          <w:bCs/>
          <w:color w:val="000000"/>
          <w:kern w:val="0"/>
          <w:sz w:val="48"/>
          <w:szCs w:val="48"/>
        </w:rPr>
      </w:pPr>
    </w:p>
    <w:p w14:paraId="0DD5816D">
      <w:pPr>
        <w:autoSpaceDE w:val="0"/>
        <w:autoSpaceDN w:val="0"/>
        <w:adjustRightInd w:val="0"/>
        <w:spacing w:line="360" w:lineRule="auto"/>
        <w:jc w:val="center"/>
        <w:rPr>
          <w:rFonts w:hint="eastAsia" w:ascii="宋体" w:hAnsi="宋体" w:cs="宋体"/>
          <w:b/>
          <w:bCs/>
          <w:color w:val="000000"/>
          <w:kern w:val="0"/>
          <w:sz w:val="48"/>
          <w:szCs w:val="48"/>
        </w:rPr>
      </w:pPr>
    </w:p>
    <w:p w14:paraId="21090330">
      <w:pPr>
        <w:autoSpaceDE w:val="0"/>
        <w:autoSpaceDN w:val="0"/>
        <w:adjustRightInd w:val="0"/>
        <w:spacing w:line="360" w:lineRule="auto"/>
        <w:jc w:val="center"/>
        <w:rPr>
          <w:rFonts w:hint="eastAsia" w:ascii="宋体" w:hAnsi="宋体" w:cs="宋体"/>
          <w:b/>
          <w:bCs/>
          <w:color w:val="000000"/>
          <w:kern w:val="0"/>
          <w:sz w:val="48"/>
          <w:szCs w:val="48"/>
        </w:rPr>
      </w:pPr>
    </w:p>
    <w:p w14:paraId="313EEF31">
      <w:pPr>
        <w:autoSpaceDE w:val="0"/>
        <w:autoSpaceDN w:val="0"/>
        <w:adjustRightInd w:val="0"/>
        <w:spacing w:line="360" w:lineRule="auto"/>
        <w:jc w:val="center"/>
        <w:rPr>
          <w:rFonts w:hint="eastAsia" w:ascii="宋体" w:hAnsi="宋体" w:cs="宋体"/>
          <w:b/>
          <w:bCs/>
          <w:color w:val="000000"/>
          <w:kern w:val="0"/>
          <w:sz w:val="48"/>
          <w:szCs w:val="48"/>
        </w:rPr>
      </w:pPr>
    </w:p>
    <w:p w14:paraId="036D0B2A">
      <w:pPr>
        <w:autoSpaceDE w:val="0"/>
        <w:autoSpaceDN w:val="0"/>
        <w:adjustRightInd w:val="0"/>
        <w:spacing w:line="360" w:lineRule="auto"/>
        <w:jc w:val="center"/>
        <w:rPr>
          <w:rFonts w:hint="eastAsia" w:ascii="宋体" w:hAnsi="宋体" w:cs="宋体"/>
          <w:b/>
          <w:bCs/>
          <w:color w:val="000000"/>
          <w:kern w:val="0"/>
          <w:sz w:val="48"/>
          <w:szCs w:val="48"/>
        </w:rPr>
      </w:pPr>
      <w:r>
        <w:rPr>
          <w:rFonts w:hint="eastAsia" w:ascii="宋体" w:hAnsi="宋体" w:cs="宋体"/>
          <w:b/>
          <w:bCs/>
          <w:color w:val="000000"/>
          <w:kern w:val="0"/>
          <w:sz w:val="48"/>
          <w:szCs w:val="48"/>
          <w:lang w:val="zh-CN"/>
        </w:rPr>
        <w:t>项目合同书</w:t>
      </w:r>
    </w:p>
    <w:p w14:paraId="5E57CD5A">
      <w:pPr>
        <w:autoSpaceDE w:val="0"/>
        <w:autoSpaceDN w:val="0"/>
        <w:adjustRightInd w:val="0"/>
        <w:spacing w:line="360" w:lineRule="auto"/>
        <w:rPr>
          <w:rFonts w:hint="eastAsia" w:ascii="宋体" w:hAnsi="宋体" w:cs="宋体"/>
          <w:color w:val="000000"/>
          <w:kern w:val="0"/>
          <w:sz w:val="28"/>
          <w:szCs w:val="28"/>
        </w:rPr>
      </w:pPr>
    </w:p>
    <w:p w14:paraId="7E19D041">
      <w:pPr>
        <w:autoSpaceDE w:val="0"/>
        <w:autoSpaceDN w:val="0"/>
        <w:adjustRightInd w:val="0"/>
        <w:spacing w:line="360" w:lineRule="auto"/>
        <w:rPr>
          <w:rFonts w:hint="eastAsia" w:ascii="宋体" w:hAnsi="宋体" w:cs="宋体"/>
          <w:color w:val="000000"/>
          <w:kern w:val="0"/>
          <w:sz w:val="28"/>
          <w:szCs w:val="28"/>
        </w:rPr>
      </w:pPr>
    </w:p>
    <w:p w14:paraId="6EFDEC35">
      <w:pPr>
        <w:autoSpaceDE w:val="0"/>
        <w:autoSpaceDN w:val="0"/>
        <w:adjustRightInd w:val="0"/>
        <w:spacing w:line="360" w:lineRule="auto"/>
        <w:rPr>
          <w:rFonts w:hint="eastAsia" w:ascii="宋体" w:hAnsi="宋体" w:cs="宋体"/>
          <w:color w:val="000000"/>
          <w:kern w:val="0"/>
          <w:sz w:val="28"/>
          <w:szCs w:val="28"/>
        </w:rPr>
      </w:pPr>
    </w:p>
    <w:p w14:paraId="0FB0A302">
      <w:pPr>
        <w:autoSpaceDE w:val="0"/>
        <w:autoSpaceDN w:val="0"/>
        <w:adjustRightInd w:val="0"/>
        <w:spacing w:line="360" w:lineRule="auto"/>
        <w:rPr>
          <w:rFonts w:hint="eastAsia" w:ascii="宋体" w:hAnsi="宋体" w:cs="宋体"/>
          <w:color w:val="000000"/>
          <w:kern w:val="0"/>
          <w:sz w:val="28"/>
          <w:szCs w:val="28"/>
        </w:rPr>
      </w:pPr>
    </w:p>
    <w:p w14:paraId="5550C5D8">
      <w:pPr>
        <w:autoSpaceDE w:val="0"/>
        <w:autoSpaceDN w:val="0"/>
        <w:adjustRightInd w:val="0"/>
        <w:spacing w:line="360" w:lineRule="auto"/>
        <w:rPr>
          <w:rFonts w:hint="eastAsia" w:ascii="宋体" w:hAnsi="宋体" w:cs="宋体"/>
          <w:color w:val="000000"/>
          <w:kern w:val="0"/>
          <w:sz w:val="28"/>
          <w:szCs w:val="28"/>
        </w:rPr>
      </w:pPr>
    </w:p>
    <w:p w14:paraId="68B7A481">
      <w:pPr>
        <w:autoSpaceDE w:val="0"/>
        <w:autoSpaceDN w:val="0"/>
        <w:adjustRightInd w:val="0"/>
        <w:spacing w:line="360" w:lineRule="auto"/>
        <w:rPr>
          <w:rFonts w:hint="eastAsia" w:ascii="宋体" w:hAnsi="宋体" w:cs="宋体"/>
          <w:color w:val="000000"/>
          <w:kern w:val="0"/>
          <w:sz w:val="28"/>
          <w:szCs w:val="28"/>
        </w:rPr>
      </w:pPr>
    </w:p>
    <w:p w14:paraId="0A277C51">
      <w:pPr>
        <w:autoSpaceDE w:val="0"/>
        <w:autoSpaceDN w:val="0"/>
        <w:adjustRightInd w:val="0"/>
        <w:spacing w:line="360" w:lineRule="auto"/>
        <w:ind w:firstLine="422" w:firstLineChars="150"/>
        <w:rPr>
          <w:rFonts w:hint="eastAsia" w:ascii="宋体" w:hAnsi="宋体" w:cs="宋体"/>
          <w:color w:val="000000"/>
          <w:kern w:val="0"/>
          <w:sz w:val="28"/>
          <w:szCs w:val="28"/>
          <w:u w:val="single"/>
        </w:rPr>
      </w:pPr>
      <w:r>
        <w:rPr>
          <w:rFonts w:hint="eastAsia" w:ascii="宋体" w:hAnsi="宋体" w:cs="宋体"/>
          <w:b/>
          <w:bCs/>
          <w:color w:val="000000"/>
          <w:kern w:val="0"/>
          <w:sz w:val="28"/>
          <w:szCs w:val="28"/>
          <w:lang w:val="zh-CN"/>
        </w:rPr>
        <w:t>项目名称：</w:t>
      </w:r>
      <w:r>
        <w:rPr>
          <w:rFonts w:hint="eastAsia" w:ascii="宋体" w:hAnsi="宋体" w:cs="宋体"/>
          <w:color w:val="000000"/>
          <w:kern w:val="0"/>
          <w:sz w:val="28"/>
          <w:szCs w:val="28"/>
          <w:u w:val="single"/>
        </w:rPr>
        <w:t>2025年度无锡市集中式饮用水水源地环境状况调查评估项目</w:t>
      </w:r>
    </w:p>
    <w:p w14:paraId="243B6778">
      <w:pPr>
        <w:autoSpaceDE w:val="0"/>
        <w:autoSpaceDN w:val="0"/>
        <w:adjustRightInd w:val="0"/>
        <w:spacing w:line="360" w:lineRule="auto"/>
        <w:ind w:firstLine="422" w:firstLineChars="150"/>
        <w:rPr>
          <w:rFonts w:hint="eastAsia" w:ascii="宋体" w:hAnsi="宋体" w:cs="宋体"/>
          <w:b/>
          <w:bCs/>
          <w:color w:val="000000"/>
          <w:kern w:val="0"/>
          <w:sz w:val="28"/>
          <w:szCs w:val="28"/>
        </w:rPr>
      </w:pPr>
      <w:r>
        <w:rPr>
          <w:rFonts w:hint="eastAsia" w:ascii="宋体" w:hAnsi="宋体" w:cs="宋体"/>
          <w:b/>
          <w:bCs/>
          <w:color w:val="000000"/>
          <w:kern w:val="0"/>
          <w:sz w:val="28"/>
          <w:szCs w:val="28"/>
          <w:lang w:val="zh-CN"/>
        </w:rPr>
        <w:t>委托方（甲方）：</w:t>
      </w:r>
      <w:r>
        <w:rPr>
          <w:rFonts w:hint="eastAsia" w:ascii="宋体" w:hAnsi="宋体" w:cs="宋体"/>
          <w:b/>
          <w:bCs/>
          <w:color w:val="000000"/>
          <w:kern w:val="0"/>
          <w:sz w:val="28"/>
          <w:szCs w:val="28"/>
          <w:u w:val="single"/>
          <w:lang w:val="zh-CN"/>
        </w:rPr>
        <w:t xml:space="preserve">（盖章）                     </w:t>
      </w:r>
    </w:p>
    <w:p w14:paraId="3E5188D9">
      <w:pPr>
        <w:autoSpaceDE w:val="0"/>
        <w:autoSpaceDN w:val="0"/>
        <w:adjustRightInd w:val="0"/>
        <w:spacing w:line="360" w:lineRule="auto"/>
        <w:ind w:firstLine="562" w:firstLineChars="200"/>
        <w:rPr>
          <w:rFonts w:hint="eastAsia" w:ascii="宋体" w:hAnsi="宋体" w:cs="宋体"/>
          <w:b/>
          <w:bCs/>
          <w:color w:val="000000"/>
          <w:kern w:val="0"/>
          <w:sz w:val="28"/>
          <w:szCs w:val="28"/>
        </w:rPr>
      </w:pPr>
      <w:r>
        <w:rPr>
          <w:rFonts w:hint="eastAsia" w:ascii="宋体" w:hAnsi="宋体" w:cs="宋体"/>
          <w:b/>
          <w:bCs/>
          <w:color w:val="000000"/>
          <w:kern w:val="0"/>
          <w:sz w:val="28"/>
          <w:szCs w:val="28"/>
          <w:lang w:val="zh-CN"/>
        </w:rPr>
        <w:t>服务方（乙方）：</w:t>
      </w:r>
      <w:r>
        <w:rPr>
          <w:rFonts w:hint="eastAsia" w:ascii="宋体" w:hAnsi="宋体" w:cs="宋体"/>
          <w:b/>
          <w:bCs/>
          <w:color w:val="000000"/>
          <w:kern w:val="0"/>
          <w:sz w:val="28"/>
          <w:szCs w:val="28"/>
          <w:u w:val="single"/>
          <w:lang w:val="zh-CN"/>
        </w:rPr>
        <w:t xml:space="preserve">（盖章）                      </w:t>
      </w:r>
    </w:p>
    <w:p w14:paraId="2ECCD4E5">
      <w:pPr>
        <w:autoSpaceDE w:val="0"/>
        <w:autoSpaceDN w:val="0"/>
        <w:adjustRightInd w:val="0"/>
        <w:spacing w:line="360" w:lineRule="auto"/>
        <w:ind w:firstLine="562" w:firstLineChars="200"/>
        <w:rPr>
          <w:rFonts w:hint="eastAsia" w:ascii="宋体" w:hAnsi="宋体" w:cs="宋体"/>
          <w:b/>
          <w:bCs/>
          <w:color w:val="000000"/>
          <w:kern w:val="0"/>
          <w:sz w:val="28"/>
          <w:szCs w:val="28"/>
          <w:u w:val="single"/>
        </w:rPr>
      </w:pPr>
      <w:r>
        <w:rPr>
          <w:rFonts w:hint="eastAsia" w:ascii="宋体" w:hAnsi="宋体" w:cs="宋体"/>
          <w:b/>
          <w:bCs/>
          <w:color w:val="000000"/>
          <w:kern w:val="0"/>
          <w:sz w:val="28"/>
          <w:szCs w:val="28"/>
          <w:lang w:val="zh-CN"/>
        </w:rPr>
        <w:t>签  订  日  期：</w:t>
      </w:r>
      <w:r>
        <w:rPr>
          <w:rFonts w:hint="eastAsia" w:ascii="宋体" w:hAnsi="宋体" w:cs="宋体"/>
          <w:b/>
          <w:bCs/>
          <w:color w:val="000000"/>
          <w:kern w:val="0"/>
          <w:sz w:val="28"/>
          <w:szCs w:val="28"/>
          <w:u w:val="single"/>
          <w:lang w:val="zh-CN"/>
        </w:rPr>
        <w:t xml:space="preserve">                              </w:t>
      </w:r>
    </w:p>
    <w:p w14:paraId="5DD79603">
      <w:pPr>
        <w:rPr>
          <w:sz w:val="28"/>
          <w:szCs w:val="28"/>
        </w:rPr>
      </w:pPr>
    </w:p>
    <w:p w14:paraId="34D15028">
      <w:pPr>
        <w:pStyle w:val="2"/>
        <w:rPr>
          <w:lang w:val="en-US"/>
        </w:rPr>
      </w:pPr>
    </w:p>
    <w:p w14:paraId="2D6B09EB">
      <w:pPr>
        <w:rPr>
          <w:rFonts w:hint="eastAsia"/>
        </w:rPr>
      </w:pPr>
    </w:p>
    <w:p w14:paraId="6457A53D">
      <w:pPr>
        <w:widowControl/>
        <w:jc w:val="left"/>
        <w:rPr>
          <w:rFonts w:hint="eastAsia" w:ascii="宋体" w:hAnsi="宋体" w:cs="仿宋"/>
          <w:b/>
          <w:color w:val="000000"/>
          <w:sz w:val="28"/>
          <w:szCs w:val="28"/>
        </w:rPr>
      </w:pPr>
    </w:p>
    <w:p w14:paraId="4616A1A4">
      <w:pPr>
        <w:spacing w:line="560" w:lineRule="exact"/>
        <w:ind w:right="-159" w:firstLine="241" w:firstLineChars="100"/>
        <w:rPr>
          <w:rFonts w:hint="eastAsia" w:ascii="宋体" w:hAnsi="宋体" w:cs="宋体"/>
          <w:b/>
          <w:bCs/>
          <w:sz w:val="24"/>
        </w:rPr>
      </w:pPr>
      <w:r>
        <w:rPr>
          <w:rFonts w:hint="eastAsia" w:ascii="宋体" w:hAnsi="宋体" w:cs="宋体"/>
          <w:b/>
          <w:bCs/>
          <w:sz w:val="24"/>
        </w:rPr>
        <w:t>委托方</w:t>
      </w:r>
      <w:r>
        <w:rPr>
          <w:rFonts w:hint="eastAsia" w:ascii="宋体" w:hAnsi="宋体" w:cs="宋体"/>
          <w:b/>
          <w:bCs/>
          <w:sz w:val="24"/>
          <w:lang w:val="zh-CN"/>
        </w:rPr>
        <w:t>（</w:t>
      </w:r>
      <w:r>
        <w:rPr>
          <w:rFonts w:hint="eastAsia" w:ascii="宋体" w:hAnsi="宋体" w:cs="宋体"/>
          <w:b/>
          <w:bCs/>
          <w:sz w:val="24"/>
        </w:rPr>
        <w:t>全称</w:t>
      </w:r>
      <w:r>
        <w:rPr>
          <w:rFonts w:hint="eastAsia" w:ascii="宋体" w:hAnsi="宋体" w:cs="宋体"/>
          <w:b/>
          <w:bCs/>
          <w:sz w:val="24"/>
          <w:lang w:val="zh-CN"/>
        </w:rPr>
        <w:t xml:space="preserve">）：  </w:t>
      </w:r>
      <w:r>
        <w:rPr>
          <w:rFonts w:hint="eastAsia" w:ascii="宋体" w:hAnsi="宋体" w:cs="宋体"/>
          <w:b/>
          <w:bCs/>
          <w:sz w:val="24"/>
        </w:rPr>
        <w:t xml:space="preserve">                 </w:t>
      </w:r>
      <w:r>
        <w:rPr>
          <w:rFonts w:hint="eastAsia" w:ascii="宋体" w:hAnsi="宋体" w:cs="宋体"/>
          <w:b/>
          <w:bCs/>
          <w:sz w:val="24"/>
          <w:lang w:val="zh-CN"/>
        </w:rPr>
        <w:t xml:space="preserve">  </w:t>
      </w:r>
      <w:r>
        <w:rPr>
          <w:rFonts w:hint="eastAsia" w:ascii="宋体" w:hAnsi="宋体" w:cs="宋体"/>
          <w:b/>
          <w:bCs/>
          <w:sz w:val="24"/>
        </w:rPr>
        <w:t xml:space="preserve">   </w:t>
      </w:r>
      <w:r>
        <w:rPr>
          <w:rFonts w:hint="eastAsia" w:ascii="宋体" w:hAnsi="宋体" w:cs="宋体"/>
          <w:b/>
          <w:bCs/>
          <w:sz w:val="24"/>
          <w:lang w:val="zh-CN"/>
        </w:rPr>
        <w:t>（以下简称“</w:t>
      </w:r>
      <w:r>
        <w:rPr>
          <w:rFonts w:hint="eastAsia" w:ascii="宋体" w:hAnsi="宋体" w:cs="宋体"/>
          <w:b/>
          <w:bCs/>
          <w:sz w:val="24"/>
        </w:rPr>
        <w:t>甲方</w:t>
      </w:r>
      <w:r>
        <w:rPr>
          <w:rFonts w:hint="eastAsia" w:ascii="宋体" w:hAnsi="宋体" w:cs="宋体"/>
          <w:b/>
          <w:bCs/>
          <w:sz w:val="24"/>
          <w:lang w:val="zh-CN"/>
        </w:rPr>
        <w:t>”）</w:t>
      </w:r>
    </w:p>
    <w:p w14:paraId="5597C21A">
      <w:pPr>
        <w:spacing w:line="560" w:lineRule="exact"/>
        <w:ind w:firstLine="241" w:firstLineChars="100"/>
        <w:rPr>
          <w:rFonts w:hint="eastAsia" w:ascii="宋体" w:hAnsi="宋体" w:cs="宋体"/>
          <w:b/>
          <w:bCs/>
          <w:sz w:val="24"/>
        </w:rPr>
      </w:pPr>
      <w:r>
        <w:rPr>
          <w:rFonts w:hint="eastAsia" w:ascii="宋体" w:hAnsi="宋体" w:cs="宋体"/>
          <w:b/>
          <w:bCs/>
          <w:sz w:val="24"/>
        </w:rPr>
        <w:t>服务方</w:t>
      </w:r>
      <w:r>
        <w:rPr>
          <w:rFonts w:hint="eastAsia" w:ascii="宋体" w:hAnsi="宋体" w:cs="宋体"/>
          <w:b/>
          <w:bCs/>
          <w:sz w:val="24"/>
          <w:lang w:val="zh-CN"/>
        </w:rPr>
        <w:t>（</w:t>
      </w:r>
      <w:r>
        <w:rPr>
          <w:rFonts w:hint="eastAsia" w:ascii="宋体" w:hAnsi="宋体" w:cs="宋体"/>
          <w:b/>
          <w:bCs/>
          <w:sz w:val="24"/>
        </w:rPr>
        <w:t>全称</w:t>
      </w:r>
      <w:r>
        <w:rPr>
          <w:rFonts w:hint="eastAsia" w:ascii="宋体" w:hAnsi="宋体" w:cs="宋体"/>
          <w:b/>
          <w:bCs/>
          <w:sz w:val="24"/>
          <w:lang w:val="zh-CN"/>
        </w:rPr>
        <w:t>）：</w:t>
      </w:r>
      <w:r>
        <w:rPr>
          <w:rFonts w:hint="eastAsia" w:ascii="宋体" w:hAnsi="宋体" w:cs="宋体"/>
          <w:b/>
          <w:bCs/>
          <w:sz w:val="24"/>
        </w:rPr>
        <w:t xml:space="preserve">                         (</w:t>
      </w:r>
      <w:r>
        <w:rPr>
          <w:rFonts w:hint="eastAsia" w:ascii="宋体" w:hAnsi="宋体" w:cs="宋体"/>
          <w:b/>
          <w:bCs/>
          <w:sz w:val="24"/>
          <w:lang w:val="zh-CN"/>
        </w:rPr>
        <w:t>以下简称“乙方”）</w:t>
      </w:r>
    </w:p>
    <w:p w14:paraId="2663B2B6">
      <w:pPr>
        <w:spacing w:line="560" w:lineRule="exact"/>
        <w:ind w:firstLine="480" w:firstLineChars="200"/>
        <w:rPr>
          <w:rFonts w:hint="eastAsia" w:ascii="宋体" w:hAnsi="宋体" w:cs="宋体"/>
          <w:sz w:val="24"/>
        </w:rPr>
      </w:pPr>
      <w:r>
        <w:rPr>
          <w:rFonts w:hint="eastAsia" w:ascii="宋体" w:hAnsi="宋体" w:cs="宋体"/>
          <w:sz w:val="24"/>
        </w:rPr>
        <w:t>根据《中华人民共和国民法典》等法律法规的规定，经双方协商一致签订本协议，共同执行。</w:t>
      </w:r>
    </w:p>
    <w:p w14:paraId="710C5B27">
      <w:pPr>
        <w:widowControl/>
        <w:shd w:val="clear" w:color="auto" w:fill="FFFFFF"/>
        <w:spacing w:line="560" w:lineRule="exact"/>
        <w:ind w:firstLine="472" w:firstLineChars="196"/>
        <w:jc w:val="left"/>
        <w:rPr>
          <w:rFonts w:hint="eastAsia" w:ascii="宋体" w:hAnsi="宋体" w:cs="宋体"/>
          <w:sz w:val="24"/>
        </w:rPr>
      </w:pPr>
      <w:r>
        <w:rPr>
          <w:rFonts w:hint="eastAsia" w:ascii="宋体" w:hAnsi="宋体" w:cs="宋体"/>
          <w:b/>
          <w:bCs/>
          <w:sz w:val="24"/>
        </w:rPr>
        <w:t>第一条 委托项目</w:t>
      </w:r>
      <w:r>
        <w:rPr>
          <w:rFonts w:hint="eastAsia" w:ascii="宋体" w:hAnsi="宋体" w:cs="宋体"/>
          <w:sz w:val="24"/>
        </w:rPr>
        <w:t> </w:t>
      </w:r>
    </w:p>
    <w:p w14:paraId="00B8C276">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乙方根据甲方委托开展：2025年度无锡市集中式饮用水水源地环境状况调查评估项目。</w:t>
      </w:r>
    </w:p>
    <w:p w14:paraId="2B230575">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服务期限：合同签订之日至2025年12月3</w:t>
      </w:r>
      <w:r>
        <w:rPr>
          <w:rFonts w:ascii="宋体" w:hAnsi="宋体" w:cs="宋体"/>
          <w:sz w:val="24"/>
        </w:rPr>
        <w:t>1</w:t>
      </w:r>
      <w:r>
        <w:rPr>
          <w:rFonts w:hint="eastAsia" w:ascii="宋体" w:hAnsi="宋体" w:cs="宋体"/>
          <w:sz w:val="24"/>
        </w:rPr>
        <w:t>日。</w:t>
      </w:r>
      <w:r>
        <w:rPr>
          <w:rFonts w:ascii="宋体" w:hAnsi="宋体" w:cs="宋体"/>
          <w:sz w:val="24"/>
        </w:rPr>
        <w:t>其中，约定项目任务所涉各项服务及成果的完成截止日期为：2025年12月31日前完成且全部服务及成果均通过验收；售后服务期及其他服务阶段的服务期限依约确定。</w:t>
      </w:r>
    </w:p>
    <w:p w14:paraId="197AB855">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第二条 合同总价款</w:t>
      </w:r>
    </w:p>
    <w:p w14:paraId="22584DC1">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本合同项下服务总价款为</w:t>
      </w:r>
      <w:r>
        <w:rPr>
          <w:rFonts w:hint="eastAsia" w:ascii="宋体" w:hAnsi="宋体" w:cs="宋体"/>
          <w:sz w:val="24"/>
          <w:u w:val="single"/>
        </w:rPr>
        <w:t xml:space="preserve">             </w:t>
      </w: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小写）人民币。该合同价款已包含甲方就履行本合同（含售后服务）所需承担的全部费用（包括但不限于：编制费、分析梳理费、专家咨询费、交通费、通讯费、文本费、劳务费等），即甲方仅需在本合同约定的付款条件达成时，向乙方支付相应款项，除此之外无需就本合同的履行再承担任何费用。</w:t>
      </w:r>
    </w:p>
    <w:p w14:paraId="7B7A7AC6">
      <w:pPr>
        <w:autoSpaceDE w:val="0"/>
        <w:autoSpaceDN w:val="0"/>
        <w:adjustRightInd w:val="0"/>
        <w:spacing w:line="560" w:lineRule="exact"/>
        <w:ind w:firstLine="482" w:firstLineChars="200"/>
        <w:jc w:val="left"/>
        <w:rPr>
          <w:rFonts w:hint="eastAsia" w:ascii="宋体" w:hAnsi="宋体" w:cs="宋体"/>
          <w:b/>
          <w:bCs/>
          <w:sz w:val="24"/>
        </w:rPr>
      </w:pPr>
      <w:r>
        <w:rPr>
          <w:rFonts w:hint="eastAsia" w:ascii="宋体" w:hAnsi="宋体" w:cs="宋体"/>
          <w:b/>
          <w:bCs/>
          <w:sz w:val="24"/>
        </w:rPr>
        <w:t>第三条 合同款支付</w:t>
      </w:r>
    </w:p>
    <w:p w14:paraId="534E6105">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1、本合同项下所有款项均以人民币支付；</w:t>
      </w:r>
    </w:p>
    <w:p w14:paraId="3AB18280">
      <w:pPr>
        <w:pStyle w:val="9"/>
        <w:spacing w:line="360" w:lineRule="auto"/>
        <w:ind w:firstLine="480" w:firstLineChars="200"/>
        <w:rPr>
          <w:rFonts w:hint="eastAsia" w:ascii="宋体" w:hAnsi="宋体" w:cs="宋体"/>
          <w:sz w:val="24"/>
        </w:rPr>
      </w:pPr>
      <w:r>
        <w:rPr>
          <w:rFonts w:hint="eastAsia" w:ascii="宋体" w:hAnsi="宋体" w:cs="宋体"/>
          <w:sz w:val="24"/>
        </w:rPr>
        <w:t>2、合同签订后15天内，采购人支付成交供应商合同总价款的50%；成交供应商按时提供项目各项服务以及《2025年无锡市地级以上集中式饮用水水源地环境状况评估报告（西石桥、沙渚）》、《2025年无锡市县级以上集中式饮用水水源地环境状况评估报告（锡东）》等约定项目成果且服务和成果均通过采购人审查验收、无违约行为后15个工作日内，采购人支付成交供应商剩余尾款。每次付款前，成交供应商应当向采购人先行开具并提交相应数额的税务发票，否则，采购人有权暂停付款，成交供应商须继续严格按合同约定提供服务。</w:t>
      </w:r>
    </w:p>
    <w:p w14:paraId="6B88A6FA">
      <w:pPr>
        <w:pStyle w:val="9"/>
        <w:spacing w:line="560" w:lineRule="exact"/>
        <w:ind w:firstLine="482" w:firstLineChars="200"/>
        <w:jc w:val="both"/>
        <w:rPr>
          <w:rFonts w:hint="eastAsia" w:ascii="宋体" w:hAnsi="宋体" w:cs="宋体"/>
          <w:b/>
          <w:bCs/>
          <w:sz w:val="24"/>
        </w:rPr>
      </w:pPr>
      <w:r>
        <w:rPr>
          <w:rFonts w:hint="eastAsia" w:ascii="宋体" w:hAnsi="宋体" w:cs="宋体"/>
          <w:b/>
          <w:bCs/>
          <w:sz w:val="24"/>
        </w:rPr>
        <w:t>第四条  服务内容、要求及交付成果</w:t>
      </w:r>
    </w:p>
    <w:p w14:paraId="69FB6547">
      <w:pPr>
        <w:autoSpaceDE w:val="0"/>
        <w:autoSpaceDN w:val="0"/>
        <w:adjustRightInd w:val="0"/>
        <w:spacing w:line="560" w:lineRule="exact"/>
        <w:ind w:firstLine="480" w:firstLineChars="200"/>
        <w:rPr>
          <w:rFonts w:hint="eastAsia" w:hAnsi="宋体"/>
          <w:sz w:val="24"/>
        </w:rPr>
      </w:pPr>
      <w:r>
        <w:rPr>
          <w:rFonts w:hint="eastAsia" w:ascii="宋体" w:hAnsi="宋体" w:cs="宋体"/>
          <w:sz w:val="24"/>
        </w:rPr>
        <w:t>服务内容：</w:t>
      </w:r>
      <w:r>
        <w:rPr>
          <w:rFonts w:hint="eastAsia" w:ascii="宋体" w:hAnsi="宋体" w:cs="宋体"/>
          <w:sz w:val="24"/>
          <w:lang w:val="en-US" w:eastAsia="zh-CN"/>
        </w:rPr>
        <w:t>（1）</w:t>
      </w:r>
      <w:r>
        <w:rPr>
          <w:rFonts w:hint="eastAsia" w:ascii="宋体" w:hAnsi="宋体" w:cs="宋体"/>
          <w:sz w:val="24"/>
        </w:rPr>
        <w:t>根据生态环境部《关于开展全国城市集中式饮用水水源环境状况评估工作的通知》（环办〔2011〕4号），《集中式饮用水水源地规范化建设环境保护技术要求》（HJ 773-2015）“9.3 定期开展饮用水水源地环境状况评估”，省生态环境厅《关于做好我省集中式饮用水水源地规范化建设工作的通知》（苏环办〔2024〕209号），各地要对城市水源地规范化建设情况开展复核。为保障饮用水水源地安全，甲方委托乙方通过资料查阅、台账检查、无人机排查、卫片识别等方式，对无锡市市区3个县级以上集中式饮用水水源地开展水源地环境状况现场调查</w:t>
      </w:r>
      <w:r>
        <w:rPr>
          <w:rFonts w:hint="eastAsia" w:ascii="宋体" w:hAnsi="宋体" w:cs="宋体"/>
          <w:sz w:val="24"/>
          <w:lang w:eastAsia="zh-CN"/>
        </w:rPr>
        <w:t>，</w:t>
      </w:r>
      <w:r>
        <w:rPr>
          <w:rFonts w:hint="eastAsia" w:ascii="宋体" w:hAnsi="宋体" w:cs="宋体"/>
          <w:sz w:val="24"/>
        </w:rPr>
        <w:t>按照《集中式饮用水水源地环境保护状况评估技术规范》（HJ774-2015）要求组织开展饮用水源地环境状况评估，识别3个市区供水集中式饮用水水源地存在的问题，分别编写形成《2025年无锡市地级以上集中式饮用水水源地环境状况评估报告（西石桥、沙渚）》、《2025年无锡市县级以上集中式饮用水水源地环境状况评估报告（锡东）》</w:t>
      </w: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对全市10个饮用水水源地环境状况档案、保护区矢量图进行动态更新</w:t>
      </w: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配合开展相关工作</w:t>
      </w: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hAnsi="宋体" w:cs="宋体"/>
          <w:sz w:val="24"/>
        </w:rPr>
        <w:t>上述2份评估报告、水源地档案、动态更新</w:t>
      </w:r>
      <w:r>
        <w:rPr>
          <w:rFonts w:hint="eastAsia" w:ascii="宋体" w:hAnsi="宋体" w:cs="宋体"/>
          <w:sz w:val="24"/>
        </w:rPr>
        <w:t>图纸在约定项目完成截止日期前</w:t>
      </w:r>
      <w:r>
        <w:rPr>
          <w:rFonts w:hint="eastAsia" w:hAnsi="宋体" w:cs="宋体"/>
          <w:sz w:val="24"/>
        </w:rPr>
        <w:t>，保障均通过</w:t>
      </w:r>
      <w:r>
        <w:rPr>
          <w:rFonts w:hint="eastAsia" w:hAnsi="宋体"/>
          <w:sz w:val="24"/>
        </w:rPr>
        <w:t>采购方的评审验收并全部依约提交给采购人。</w:t>
      </w:r>
    </w:p>
    <w:p w14:paraId="39C068A1">
      <w:pPr>
        <w:autoSpaceDE w:val="0"/>
        <w:autoSpaceDN w:val="0"/>
        <w:adjustRightInd w:val="0"/>
        <w:spacing w:line="560" w:lineRule="exact"/>
        <w:ind w:firstLine="480" w:firstLineChars="200"/>
        <w:rPr>
          <w:rFonts w:hint="eastAsia" w:ascii="宋体" w:hAnsi="宋体" w:cs="宋体"/>
          <w:sz w:val="24"/>
        </w:rPr>
      </w:pPr>
      <w:r>
        <w:rPr>
          <w:rFonts w:hint="eastAsia" w:ascii="宋体" w:hAnsi="宋体" w:cs="宋体"/>
          <w:sz w:val="24"/>
        </w:rPr>
        <w:t>服务要求：1.饮用水水源地环境状况评估工作符合《集中式饮用水水源地环境保护状况评估技术规范》（HJ774-2015）的要求，并通过甲方的评审验收；2.饮用水水源地矢量图符合省生态环境厅水源地矢量图的绘制要求和格式要求；3.水源地档案按甲方确认的要求进行动态更新。</w:t>
      </w:r>
    </w:p>
    <w:p w14:paraId="72DF1445">
      <w:pPr>
        <w:autoSpaceDE w:val="0"/>
        <w:autoSpaceDN w:val="0"/>
        <w:adjustRightInd w:val="0"/>
        <w:spacing w:line="560" w:lineRule="exact"/>
        <w:ind w:firstLine="480" w:firstLineChars="200"/>
        <w:rPr>
          <w:rFonts w:hint="eastAsia" w:ascii="宋体" w:hAnsi="宋体" w:cs="宋体"/>
          <w:sz w:val="24"/>
        </w:rPr>
      </w:pPr>
      <w:r>
        <w:rPr>
          <w:rFonts w:hint="eastAsia" w:ascii="宋体" w:hAnsi="宋体" w:cs="宋体"/>
          <w:sz w:val="24"/>
        </w:rPr>
        <w:t>交付成果：1</w:t>
      </w:r>
      <w:r>
        <w:rPr>
          <w:rFonts w:ascii="宋体" w:hAnsi="宋体" w:cs="宋体"/>
          <w:sz w:val="24"/>
        </w:rPr>
        <w:t>.</w:t>
      </w:r>
      <w:r>
        <w:rPr>
          <w:rFonts w:hint="eastAsia" w:ascii="宋体" w:hAnsi="宋体" w:cs="宋体"/>
          <w:sz w:val="24"/>
        </w:rPr>
        <w:t>编制《2025年无锡市地级以上集中式饮用水水源地环境状况评估报告（西石桥、沙渚）》、《2025年无锡市县级以上集中式饮用水水源地环境状况评估报告（锡东）》，按约向甲方交付（提供纸质版4套及电子稿）并通过甲方审查验收；2</w:t>
      </w:r>
      <w:r>
        <w:rPr>
          <w:rFonts w:ascii="宋体" w:hAnsi="宋体" w:cs="宋体"/>
          <w:sz w:val="24"/>
        </w:rPr>
        <w:t>.</w:t>
      </w:r>
      <w:r>
        <w:rPr>
          <w:rFonts w:hint="eastAsia" w:ascii="宋体" w:hAnsi="宋体" w:cs="宋体"/>
          <w:sz w:val="24"/>
        </w:rPr>
        <w:t>动态更新7个县级以上集中式饮用水水源地、1个乡镇级及以下饮用水水源地，2个应急水源地水源地环境状况档案、保护区矢量图；3.配合甲方开展相关工作。</w:t>
      </w:r>
    </w:p>
    <w:p w14:paraId="0EB43F19">
      <w:pPr>
        <w:autoSpaceDE w:val="0"/>
        <w:autoSpaceDN w:val="0"/>
        <w:adjustRightInd w:val="0"/>
        <w:spacing w:line="560" w:lineRule="exact"/>
        <w:ind w:firstLine="480" w:firstLineChars="200"/>
        <w:rPr>
          <w:rFonts w:hint="eastAsia" w:ascii="宋体" w:hAnsi="宋体" w:cs="宋体"/>
          <w:sz w:val="24"/>
        </w:rPr>
      </w:pPr>
      <w:r>
        <w:rPr>
          <w:rFonts w:hint="eastAsia" w:ascii="宋体" w:hAnsi="宋体" w:cs="宋体"/>
          <w:sz w:val="24"/>
        </w:rPr>
        <w:t>验收标准：上述服务及报告等通过甲方或省级部门审核。评估报告应符合《集中式饮用水水源地环境保护状况评估技术规范》（HJ774-2015）各项要求，饮用水水源地矢量图符合省生态环境厅水源地矢量图的绘制要求和格式要求，水源地档案按甲方确认的要求进行动态更新。</w:t>
      </w:r>
    </w:p>
    <w:p w14:paraId="07A6FB9E">
      <w:pPr>
        <w:widowControl/>
        <w:shd w:val="clear" w:color="auto" w:fill="FFFFFF"/>
        <w:spacing w:line="560" w:lineRule="exact"/>
        <w:ind w:firstLine="482" w:firstLineChars="200"/>
        <w:jc w:val="left"/>
        <w:rPr>
          <w:rFonts w:hint="eastAsia" w:ascii="宋体" w:hAnsi="宋体" w:cs="宋体"/>
          <w:b/>
          <w:bCs/>
          <w:sz w:val="24"/>
        </w:rPr>
      </w:pPr>
      <w:r>
        <w:rPr>
          <w:rFonts w:hint="eastAsia" w:ascii="宋体" w:hAnsi="宋体" w:cs="宋体"/>
          <w:b/>
          <w:bCs/>
          <w:sz w:val="24"/>
        </w:rPr>
        <w:t>第五条 权利与义务</w:t>
      </w:r>
    </w:p>
    <w:p w14:paraId="4F08F7EE">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1、甲方的权利与义务</w:t>
      </w:r>
    </w:p>
    <w:p w14:paraId="4B973DB5">
      <w:pPr>
        <w:pStyle w:val="9"/>
        <w:spacing w:line="560" w:lineRule="exact"/>
        <w:jc w:val="both"/>
        <w:rPr>
          <w:rFonts w:hint="eastAsia" w:ascii="宋体" w:hAnsi="宋体" w:cs="宋体"/>
          <w:sz w:val="24"/>
        </w:rPr>
      </w:pPr>
      <w:r>
        <w:rPr>
          <w:rFonts w:hint="eastAsia" w:ascii="宋体" w:hAnsi="宋体" w:cs="宋体"/>
          <w:sz w:val="24"/>
        </w:rPr>
        <w:t xml:space="preserve">   （1） 甲方有权定期或不定期调度掌握乙方工作进展及完成情况；</w:t>
      </w:r>
    </w:p>
    <w:p w14:paraId="7298BFB3">
      <w:pPr>
        <w:pStyle w:val="9"/>
        <w:spacing w:line="560" w:lineRule="exact"/>
        <w:jc w:val="both"/>
        <w:rPr>
          <w:rFonts w:hint="eastAsia" w:ascii="宋体" w:hAnsi="宋体" w:cs="宋体"/>
          <w:sz w:val="24"/>
        </w:rPr>
      </w:pPr>
      <w:r>
        <w:rPr>
          <w:rFonts w:hint="eastAsia" w:ascii="宋体" w:hAnsi="宋体" w:cs="宋体"/>
          <w:sz w:val="24"/>
        </w:rPr>
        <w:t xml:space="preserve">   （2）甲方有权对乙方提供的信息、资料、服务成果进行审查，并有要求修改的权利，</w:t>
      </w:r>
      <w:r>
        <w:rPr>
          <w:rFonts w:hint="eastAsia"/>
          <w:sz w:val="24"/>
        </w:rPr>
        <w:t>有权对乙方服务过程中不规范、不合理的行为提出整改要求，乙方须立即整改</w:t>
      </w:r>
      <w:r>
        <w:rPr>
          <w:rFonts w:hint="eastAsia" w:ascii="宋体" w:hAnsi="宋体" w:cs="宋体"/>
          <w:sz w:val="24"/>
        </w:rPr>
        <w:t>；</w:t>
      </w:r>
    </w:p>
    <w:p w14:paraId="7FAB54FD">
      <w:pPr>
        <w:autoSpaceDE w:val="0"/>
        <w:autoSpaceDN w:val="0"/>
        <w:adjustRightInd w:val="0"/>
        <w:spacing w:line="560" w:lineRule="exact"/>
        <w:ind w:firstLine="360" w:firstLineChars="150"/>
        <w:rPr>
          <w:rFonts w:hint="eastAsia" w:ascii="宋体" w:hAnsi="宋体" w:cs="宋体"/>
          <w:sz w:val="24"/>
        </w:rPr>
      </w:pPr>
      <w:r>
        <w:rPr>
          <w:rFonts w:hint="eastAsia" w:ascii="宋体" w:hAnsi="宋体" w:cs="宋体"/>
          <w:sz w:val="24"/>
        </w:rPr>
        <w:t>（3）</w:t>
      </w:r>
      <w:r>
        <w:rPr>
          <w:rFonts w:hint="eastAsia"/>
          <w:sz w:val="24"/>
        </w:rPr>
        <w:t>甲方对于乙方提出的协助要求，在能力范围内就必要事务协</w:t>
      </w:r>
      <w:r>
        <w:rPr>
          <w:rFonts w:hint="eastAsia" w:ascii="宋体" w:hAnsi="宋体" w:cs="宋体"/>
          <w:sz w:val="24"/>
        </w:rPr>
        <w:t>助乙方做好开展调研的协调工作；</w:t>
      </w:r>
    </w:p>
    <w:p w14:paraId="2E01791A">
      <w:pPr>
        <w:autoSpaceDE w:val="0"/>
        <w:autoSpaceDN w:val="0"/>
        <w:adjustRightInd w:val="0"/>
        <w:spacing w:line="560" w:lineRule="exact"/>
        <w:ind w:firstLine="360" w:firstLineChars="150"/>
        <w:rPr>
          <w:rFonts w:hint="eastAsia" w:ascii="宋体" w:hAnsi="宋体" w:cs="宋体"/>
          <w:sz w:val="24"/>
        </w:rPr>
      </w:pPr>
      <w:r>
        <w:rPr>
          <w:rFonts w:hint="eastAsia" w:ascii="宋体" w:hAnsi="宋体" w:cs="宋体"/>
          <w:sz w:val="24"/>
        </w:rPr>
        <w:t>（4）</w:t>
      </w:r>
      <w:r>
        <w:rPr>
          <w:rFonts w:hint="eastAsia"/>
          <w:sz w:val="24"/>
        </w:rPr>
        <w:t>甲方对于乙方提出的协助要求，在能力范围内</w:t>
      </w:r>
      <w:r>
        <w:rPr>
          <w:rFonts w:hint="eastAsia" w:ascii="宋体" w:hAnsi="宋体" w:cs="宋体"/>
          <w:sz w:val="24"/>
        </w:rPr>
        <w:t>为乙方提供与该项目相关必要的文件和技术资料；</w:t>
      </w:r>
    </w:p>
    <w:p w14:paraId="47D50281">
      <w:pPr>
        <w:pStyle w:val="9"/>
        <w:spacing w:line="560" w:lineRule="exact"/>
        <w:ind w:firstLine="480" w:firstLineChars="200"/>
        <w:jc w:val="both"/>
        <w:rPr>
          <w:rFonts w:hint="eastAsia" w:ascii="宋体" w:hAnsi="宋体" w:cs="宋体"/>
          <w:sz w:val="24"/>
        </w:rPr>
      </w:pPr>
      <w:r>
        <w:rPr>
          <w:rFonts w:hint="eastAsia" w:ascii="宋体" w:hAnsi="宋体" w:cs="宋体"/>
          <w:sz w:val="24"/>
        </w:rPr>
        <w:t>2、乙方的权利与义务</w:t>
      </w:r>
    </w:p>
    <w:p w14:paraId="3B9E0747">
      <w:pPr>
        <w:pStyle w:val="9"/>
        <w:spacing w:line="560" w:lineRule="exact"/>
        <w:jc w:val="both"/>
        <w:rPr>
          <w:rFonts w:hint="eastAsia" w:ascii="宋体" w:hAnsi="宋体" w:cs="宋体"/>
          <w:sz w:val="24"/>
        </w:rPr>
      </w:pPr>
      <w:r>
        <w:rPr>
          <w:rFonts w:hint="eastAsia" w:ascii="宋体" w:hAnsi="宋体" w:cs="宋体"/>
          <w:sz w:val="24"/>
        </w:rPr>
        <w:t xml:space="preserve">   （1）乙方及其人员应依照本合同约定，按时保证质保量完成约定的服务事务，并保障甲方就本合同履行情况的监督权及知情权，</w:t>
      </w:r>
      <w:r>
        <w:rPr>
          <w:rFonts w:ascii="宋体" w:hAnsi="宋体" w:cs="宋体"/>
          <w:b/>
          <w:bCs/>
          <w:sz w:val="24"/>
          <w:u w:val="single"/>
        </w:rPr>
        <w:t>项目事务开展的安全责任</w:t>
      </w:r>
      <w:r>
        <w:rPr>
          <w:rFonts w:hint="eastAsia" w:ascii="宋体" w:hAnsi="宋体" w:cs="宋体"/>
          <w:b/>
          <w:bCs/>
          <w:sz w:val="24"/>
          <w:u w:val="single"/>
        </w:rPr>
        <w:t>由乙方自行</w:t>
      </w:r>
      <w:r>
        <w:rPr>
          <w:rFonts w:ascii="宋体" w:hAnsi="宋体" w:cs="宋体"/>
          <w:b/>
          <w:bCs/>
          <w:sz w:val="24"/>
          <w:u w:val="single"/>
        </w:rPr>
        <w:t>承担</w:t>
      </w:r>
      <w:r>
        <w:rPr>
          <w:rFonts w:hint="eastAsia" w:ascii="宋体" w:hAnsi="宋体" w:cs="宋体"/>
          <w:sz w:val="24"/>
        </w:rPr>
        <w:t>。甲方如就服务事务的开展提出要求或异议的，乙方应及时配合或就异议制作书面答复意见并对相关工作进行调整、整改等。</w:t>
      </w:r>
    </w:p>
    <w:p w14:paraId="021792AF">
      <w:pPr>
        <w:pStyle w:val="9"/>
        <w:spacing w:line="560" w:lineRule="exact"/>
        <w:ind w:left="960" w:hanging="960" w:hangingChars="400"/>
        <w:jc w:val="both"/>
        <w:rPr>
          <w:rFonts w:hint="eastAsia" w:ascii="宋体" w:hAnsi="宋体" w:cs="宋体"/>
          <w:sz w:val="24"/>
          <w:u w:val="single"/>
        </w:rPr>
      </w:pPr>
      <w:r>
        <w:rPr>
          <w:rFonts w:hint="eastAsia" w:ascii="宋体" w:hAnsi="宋体" w:cs="宋体"/>
          <w:sz w:val="24"/>
        </w:rPr>
        <w:t xml:space="preserve">   （2）乙方项目团队负责人为</w:t>
      </w:r>
      <w:r>
        <w:rPr>
          <w:rFonts w:hint="eastAsia" w:ascii="宋体" w:hAnsi="宋体" w:cs="宋体"/>
          <w:sz w:val="24"/>
          <w:u w:val="single"/>
        </w:rPr>
        <w:t xml:space="preserve">           </w:t>
      </w:r>
      <w:r>
        <w:rPr>
          <w:rFonts w:hint="eastAsia" w:ascii="宋体" w:hAnsi="宋体" w:cs="宋体"/>
          <w:sz w:val="24"/>
        </w:rPr>
        <w:t>，联系电话</w:t>
      </w:r>
      <w:r>
        <w:rPr>
          <w:rFonts w:hint="eastAsia" w:ascii="宋体" w:hAnsi="宋体" w:cs="宋体"/>
          <w:sz w:val="24"/>
          <w:u w:val="single"/>
        </w:rPr>
        <w:t xml:space="preserve">                  </w:t>
      </w:r>
    </w:p>
    <w:p w14:paraId="25BD94A9">
      <w:pPr>
        <w:pStyle w:val="9"/>
        <w:spacing w:line="560" w:lineRule="exact"/>
        <w:ind w:left="960" w:hanging="960" w:hangingChars="400"/>
        <w:rPr>
          <w:rFonts w:hint="eastAsia" w:ascii="宋体" w:hAnsi="宋体" w:cs="宋体"/>
          <w:sz w:val="24"/>
        </w:rPr>
      </w:pPr>
      <w:r>
        <w:rPr>
          <w:rFonts w:hint="eastAsia" w:ascii="宋体" w:hAnsi="宋体" w:cs="宋体"/>
          <w:sz w:val="24"/>
        </w:rPr>
        <w:t>邮箱：</w:t>
      </w:r>
      <w:r>
        <w:rPr>
          <w:rFonts w:hint="eastAsia" w:ascii="宋体" w:hAnsi="宋体" w:cs="宋体"/>
          <w:sz w:val="24"/>
          <w:u w:val="single"/>
        </w:rPr>
        <w:t xml:space="preserve"> </w:t>
      </w:r>
      <w:r>
        <w:fldChar w:fldCharType="begin"/>
      </w:r>
      <w:r>
        <w:instrText xml:space="preserve"> HYPERLINK "mailto:yjy@wetri.com.cn" </w:instrText>
      </w:r>
      <w:r>
        <w:fldChar w:fldCharType="separate"/>
      </w:r>
      <w:r>
        <w:fldChar w:fldCharType="end"/>
      </w:r>
      <w:r>
        <w:rPr>
          <w:rFonts w:hint="eastAsia" w:ascii="宋体" w:hAnsi="宋体" w:cs="宋体"/>
          <w:sz w:val="24"/>
          <w:u w:val="single"/>
        </w:rPr>
        <w:t xml:space="preserve">              </w:t>
      </w:r>
      <w:r>
        <w:rPr>
          <w:rFonts w:hint="eastAsia" w:ascii="宋体" w:hAnsi="宋体" w:cs="宋体"/>
          <w:sz w:val="24"/>
        </w:rPr>
        <w:t>，微信号：</w:t>
      </w:r>
      <w:r>
        <w:rPr>
          <w:rFonts w:hint="eastAsia" w:ascii="宋体" w:hAnsi="宋体" w:cs="宋体"/>
          <w:sz w:val="24"/>
          <w:u w:val="single"/>
        </w:rPr>
        <w:t xml:space="preserve">         </w:t>
      </w:r>
      <w:r>
        <w:rPr>
          <w:rFonts w:hint="eastAsia" w:ascii="宋体" w:hAnsi="宋体" w:cs="宋体"/>
          <w:sz w:val="24"/>
        </w:rPr>
        <w:t>，联系地址：</w:t>
      </w:r>
      <w:r>
        <w:rPr>
          <w:rFonts w:hint="eastAsia" w:ascii="宋体" w:hAnsi="宋体" w:cs="宋体"/>
          <w:sz w:val="24"/>
          <w:u w:val="single"/>
        </w:rPr>
        <w:t xml:space="preserve">               </w:t>
      </w:r>
      <w:r>
        <w:rPr>
          <w:rFonts w:hint="eastAsia" w:ascii="宋体" w:hAnsi="宋体" w:cs="宋体"/>
          <w:sz w:val="24"/>
        </w:rPr>
        <w:t xml:space="preserve">。  </w:t>
      </w:r>
    </w:p>
    <w:p w14:paraId="4BBD5119">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乙方确认前述项目团队负责人已获得授权</w:t>
      </w:r>
      <w:r>
        <w:rPr>
          <w:rFonts w:ascii="宋体" w:hAnsi="宋体" w:cs="宋体"/>
          <w:sz w:val="24"/>
        </w:rPr>
        <w:t>、负责代表乙方就本项目事宜与甲方及相关第三方进行沟通、发表意见及进行文件收寄等</w:t>
      </w:r>
      <w:r>
        <w:rPr>
          <w:rFonts w:hint="eastAsia" w:ascii="宋体" w:hAnsi="宋体" w:cs="宋体"/>
          <w:sz w:val="24"/>
        </w:rPr>
        <w:t>且其作出的意见及决定均可视为乙方意见，</w:t>
      </w:r>
      <w:r>
        <w:rPr>
          <w:rFonts w:ascii="宋体" w:hAnsi="宋体" w:cs="宋体"/>
          <w:sz w:val="24"/>
        </w:rPr>
        <w:t>乙方该项目团队负责人及上述其</w:t>
      </w:r>
      <w:r>
        <w:rPr>
          <w:rFonts w:hint="eastAsia" w:ascii="宋体" w:hAnsi="宋体" w:cs="宋体"/>
          <w:sz w:val="24"/>
        </w:rPr>
        <w:t>联系信息均为不可改变的联系方式：以邮件方式寄出的文书，一经寄出在三日内均视为已经收到；用手机短信、微信、电子邮件发送的信息，一经发出均视为立即收到。如双方通过司法方式解决争议的，项目团队负责人的电话及收件地址均为乙方确认的裁判机关送达方式，如项目团队负责人发生变更或约定的联系信息发生改变的，乙方均应及时以书面方式告知甲方，否则引起的不利后果均由乙方承担。</w:t>
      </w:r>
    </w:p>
    <w:p w14:paraId="256D12F5">
      <w:pPr>
        <w:pStyle w:val="9"/>
        <w:spacing w:line="560" w:lineRule="exact"/>
        <w:jc w:val="both"/>
        <w:rPr>
          <w:rFonts w:hint="eastAsia" w:ascii="宋体" w:hAnsi="宋体" w:cs="宋体"/>
          <w:sz w:val="24"/>
        </w:rPr>
      </w:pPr>
      <w:r>
        <w:rPr>
          <w:rFonts w:hint="eastAsia" w:ascii="宋体" w:hAnsi="宋体" w:cs="宋体"/>
          <w:sz w:val="24"/>
        </w:rPr>
        <w:t xml:space="preserve">  （3）乙方应保障项目组人员的稳定性，确需调整项目组部分人员时应征得甲方书面同意并应及时将调整原因及人员变更情况书面告知甲方，乙方应选择符合本合同服务事务技术要求及具备相应专业能力、实践经验的员工为接替人。项目组人员实际情况与约定不符或因项目组人员变动等导致对项目产生不良隐患或影响的，应由乙方自行负责及时解决、消除影响、避免损失并承担因此产生的各项责任（包括但不限于：甲方产生的费用增项、损失等）。</w:t>
      </w:r>
    </w:p>
    <w:p w14:paraId="5A40BB06">
      <w:pPr>
        <w:pStyle w:val="9"/>
        <w:spacing w:line="560" w:lineRule="exact"/>
        <w:jc w:val="both"/>
        <w:rPr>
          <w:rFonts w:hint="eastAsia" w:ascii="宋体" w:hAnsi="宋体" w:cs="宋体"/>
          <w:sz w:val="24"/>
        </w:rPr>
      </w:pPr>
      <w:r>
        <w:rPr>
          <w:rFonts w:hint="eastAsia" w:ascii="宋体" w:hAnsi="宋体" w:cs="宋体"/>
          <w:sz w:val="24"/>
        </w:rPr>
        <w:t xml:space="preserve">  （4）合同履行期间，乙方应将最新工作进度及时向甲方进行报告；</w:t>
      </w:r>
    </w:p>
    <w:p w14:paraId="16EF8D51">
      <w:pPr>
        <w:pStyle w:val="9"/>
        <w:spacing w:line="560" w:lineRule="exact"/>
        <w:jc w:val="both"/>
        <w:rPr>
          <w:rFonts w:hint="eastAsia" w:ascii="宋体" w:hAnsi="宋体" w:cs="宋体"/>
          <w:sz w:val="24"/>
        </w:rPr>
      </w:pPr>
      <w:r>
        <w:rPr>
          <w:rFonts w:hint="eastAsia" w:ascii="宋体" w:hAnsi="宋体" w:cs="宋体"/>
          <w:sz w:val="24"/>
        </w:rPr>
        <w:t xml:space="preserve">  （5）对于甲方提出的修改要求，乙方应积极响应，并及时将修改情况向甲方报告。</w:t>
      </w:r>
    </w:p>
    <w:p w14:paraId="172CEF4A">
      <w:pPr>
        <w:pStyle w:val="9"/>
        <w:spacing w:line="560" w:lineRule="exact"/>
        <w:jc w:val="both"/>
        <w:rPr>
          <w:rFonts w:hint="eastAsia" w:ascii="宋体" w:hAnsi="宋体" w:cs="宋体"/>
          <w:sz w:val="24"/>
        </w:rPr>
      </w:pPr>
      <w:r>
        <w:rPr>
          <w:rFonts w:hint="eastAsia" w:ascii="宋体" w:hAnsi="宋体" w:cs="宋体"/>
          <w:sz w:val="24"/>
        </w:rPr>
        <w:t xml:space="preserve">  （6）乙方要对因履行本合同而获得的甲方交付资料及合同履行期间产生的资料进行妥善分类、归档、保管，在合同解除/终止时与成果一并交付甲方。</w:t>
      </w:r>
    </w:p>
    <w:p w14:paraId="7DE5FBF9">
      <w:pPr>
        <w:pStyle w:val="9"/>
        <w:spacing w:line="560" w:lineRule="exact"/>
        <w:ind w:firstLine="240" w:firstLineChars="100"/>
        <w:jc w:val="both"/>
        <w:rPr>
          <w:rFonts w:hint="eastAsia" w:ascii="宋体" w:hAnsi="宋体" w:cs="宋体"/>
          <w:sz w:val="24"/>
        </w:rPr>
      </w:pPr>
      <w:r>
        <w:rPr>
          <w:rFonts w:hint="eastAsia" w:ascii="宋体" w:hAnsi="宋体" w:cs="宋体"/>
          <w:sz w:val="24"/>
        </w:rPr>
        <w:t>（7）若乙方须甲方提供相应协助，乙方应就配合的事项及具体要求制作书面通知并提前不少于</w:t>
      </w:r>
      <w:r>
        <w:rPr>
          <w:rFonts w:hint="eastAsia" w:ascii="宋体" w:hAnsi="宋体" w:cs="宋体"/>
          <w:sz w:val="24"/>
          <w:u w:val="single"/>
        </w:rPr>
        <w:t>5</w:t>
      </w:r>
      <w:r>
        <w:rPr>
          <w:rFonts w:hint="eastAsia" w:ascii="宋体" w:hAnsi="宋体" w:cs="宋体"/>
          <w:sz w:val="24"/>
        </w:rPr>
        <w:t>个工作日将通知交付给甲方，以便甲方审查确认及开展部分准备工作。</w:t>
      </w:r>
    </w:p>
    <w:p w14:paraId="41608DC2">
      <w:pPr>
        <w:pStyle w:val="9"/>
        <w:spacing w:line="560" w:lineRule="exact"/>
        <w:ind w:firstLine="240" w:firstLineChars="100"/>
        <w:jc w:val="both"/>
        <w:rPr>
          <w:rFonts w:hint="eastAsia" w:ascii="宋体" w:hAnsi="宋体" w:cs="宋体"/>
          <w:sz w:val="24"/>
        </w:rPr>
      </w:pPr>
      <w:r>
        <w:rPr>
          <w:rFonts w:hint="eastAsia" w:ascii="宋体" w:hAnsi="宋体" w:cs="宋体"/>
          <w:sz w:val="24"/>
        </w:rPr>
        <w:t>（8）由乙方对本项目开展的效率、效果、合法合规性以及全过程安全责任（包括但不限于项目事务自身以及双方、第三方的人身、财产安全保障及纠纷、损失等的处理及赔偿的各项责任）、环保责任、消防责任等负责。</w:t>
      </w:r>
    </w:p>
    <w:p w14:paraId="576735F6">
      <w:pPr>
        <w:pStyle w:val="9"/>
        <w:spacing w:line="560" w:lineRule="exact"/>
        <w:ind w:firstLine="482" w:firstLineChars="200"/>
        <w:jc w:val="both"/>
        <w:rPr>
          <w:rFonts w:hint="eastAsia" w:ascii="宋体" w:hAnsi="宋体" w:cs="宋体"/>
          <w:b/>
          <w:bCs/>
          <w:sz w:val="24"/>
        </w:rPr>
      </w:pPr>
      <w:r>
        <w:rPr>
          <w:rFonts w:hint="eastAsia" w:ascii="宋体" w:hAnsi="宋体" w:cs="宋体"/>
          <w:b/>
          <w:bCs/>
          <w:sz w:val="24"/>
        </w:rPr>
        <w:t>第六条 质量保证</w:t>
      </w:r>
      <w:r>
        <w:rPr>
          <w:rFonts w:hint="eastAsia"/>
          <w:b/>
          <w:bCs/>
          <w:sz w:val="24"/>
        </w:rPr>
        <w:t>及售后服务</w:t>
      </w:r>
    </w:p>
    <w:p w14:paraId="56302AB5">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1、乙方提供的服务必须全部达到国家或行业标准、约定及甲方的要求。</w:t>
      </w:r>
    </w:p>
    <w:p w14:paraId="45C78565">
      <w:pPr>
        <w:widowControl/>
        <w:shd w:val="clear" w:color="auto" w:fill="FFFFFF"/>
        <w:spacing w:line="560" w:lineRule="exact"/>
        <w:ind w:firstLine="480" w:firstLineChars="200"/>
        <w:rPr>
          <w:rFonts w:hint="eastAsia" w:ascii="宋体" w:hAnsi="宋体" w:cs="宋体"/>
          <w:sz w:val="24"/>
        </w:rPr>
      </w:pPr>
      <w:r>
        <w:rPr>
          <w:rFonts w:ascii="宋体" w:hAnsi="宋体" w:cs="宋体"/>
          <w:sz w:val="24"/>
        </w:rPr>
        <w:t>2</w:t>
      </w:r>
      <w:r>
        <w:rPr>
          <w:rFonts w:hint="eastAsia" w:ascii="宋体" w:hAnsi="宋体" w:cs="宋体"/>
          <w:sz w:val="24"/>
        </w:rPr>
        <w:t>、自乙方提供的各项目服务及成果全部通过甲方验收的次日起6个月，系乙方就本项目的售后服务期，乙方在前述售后服务期内应6个月内根据甲方需求及要求提供售后服务（包括但不限于：根据需要完善全市饮用水水源地调查评估工作及相关评估报告，完善水源地矢量图修正，更新水源地档案等其他相关的各项事务）。</w:t>
      </w:r>
    </w:p>
    <w:p w14:paraId="41448D14">
      <w:pPr>
        <w:autoSpaceDE w:val="0"/>
        <w:autoSpaceDN w:val="0"/>
        <w:adjustRightInd w:val="0"/>
        <w:spacing w:line="560" w:lineRule="exact"/>
        <w:ind w:firstLine="482" w:firstLineChars="200"/>
        <w:jc w:val="left"/>
        <w:rPr>
          <w:rFonts w:hint="eastAsia" w:ascii="宋体" w:hAnsi="宋体" w:cs="宋体"/>
          <w:b/>
          <w:bCs/>
          <w:sz w:val="24"/>
        </w:rPr>
      </w:pPr>
      <w:r>
        <w:rPr>
          <w:rFonts w:hint="eastAsia" w:ascii="宋体" w:hAnsi="宋体" w:cs="宋体"/>
          <w:b/>
          <w:bCs/>
          <w:sz w:val="24"/>
        </w:rPr>
        <w:t>第七条 合同的变更和终止</w:t>
      </w:r>
    </w:p>
    <w:p w14:paraId="665EE9D0">
      <w:pPr>
        <w:widowControl/>
        <w:shd w:val="clear" w:color="auto" w:fill="FFFFFF"/>
        <w:spacing w:line="560" w:lineRule="exact"/>
        <w:ind w:firstLine="480" w:firstLineChars="200"/>
        <w:jc w:val="left"/>
        <w:rPr>
          <w:rFonts w:hint="eastAsia" w:ascii="宋体" w:hAnsi="宋体" w:cs="宋体"/>
          <w:sz w:val="24"/>
        </w:rPr>
      </w:pPr>
      <w:r>
        <w:rPr>
          <w:rFonts w:hint="eastAsia" w:ascii="宋体" w:hAnsi="宋体" w:cs="宋体"/>
          <w:sz w:val="24"/>
        </w:rPr>
        <w:t>除发生法律规定的不能预见、不能避免并不能克服的客观情况或约定情形外，甲乙双方不得单方变更和终止合同。</w:t>
      </w:r>
      <w:r>
        <w:rPr>
          <w:rFonts w:ascii="宋体" w:hAnsi="宋体" w:cs="宋体"/>
          <w:sz w:val="24"/>
        </w:rPr>
        <w:t>本合同如需修改、变更的，均应由双方协商一致并签订书面补充协议。</w:t>
      </w:r>
    </w:p>
    <w:p w14:paraId="6D3715D2">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第八条 合同的转让</w:t>
      </w:r>
    </w:p>
    <w:p w14:paraId="049D2627">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未经甲方事先书面许可，乙方不得将本合同项目的部分或全部与第三方合作，或将全部或部分委托事务擅自分包、转包、转委托给第三方。否则，甲方均有权单方解除本合同并要求乙方终止让第三方接触或参与任何本项目相关事宜，且乙方应按合同总价款的50%向甲方支付违约金，并承担由此给甲方和项目造成的费用增项、损失等各项法律责任。</w:t>
      </w:r>
    </w:p>
    <w:p w14:paraId="6959B744">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第九条 争议的解决</w:t>
      </w:r>
    </w:p>
    <w:p w14:paraId="0086E7F6">
      <w:pPr>
        <w:widowControl/>
        <w:shd w:val="clear" w:color="auto" w:fill="FFFFFF"/>
        <w:spacing w:line="560" w:lineRule="exact"/>
        <w:ind w:firstLine="560"/>
        <w:jc w:val="left"/>
        <w:rPr>
          <w:rFonts w:hint="eastAsia" w:ascii="宋体" w:hAnsi="宋体" w:cs="宋体"/>
          <w:sz w:val="24"/>
        </w:rPr>
      </w:pPr>
      <w:r>
        <w:rPr>
          <w:rFonts w:hint="eastAsia" w:ascii="宋体" w:hAnsi="宋体" w:cs="宋体"/>
          <w:sz w:val="24"/>
        </w:rPr>
        <w:t>因履行本合同引起的或与本合同有关的争议，甲、乙双方应首先通过友好协商解决，如果协商不能解决争议，任何一方均可向甲方所在地人民法院提起诉讼。各方因解决争议所产生的各项费用（包括但不限于：公证费、鉴定费、保函费、律师费、食宿费、交通费等）均由责任方承担。</w:t>
      </w:r>
    </w:p>
    <w:p w14:paraId="6C599A06">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第十条 诚实信用</w:t>
      </w:r>
    </w:p>
    <w:p w14:paraId="7CDA403F">
      <w:pPr>
        <w:widowControl/>
        <w:shd w:val="clear" w:color="auto" w:fill="FFFFFF"/>
        <w:spacing w:line="560" w:lineRule="exact"/>
        <w:ind w:firstLine="480" w:firstLineChars="200"/>
        <w:jc w:val="left"/>
        <w:rPr>
          <w:rFonts w:hint="eastAsia" w:ascii="宋体" w:hAnsi="宋体" w:cs="宋体"/>
          <w:sz w:val="24"/>
        </w:rPr>
      </w:pPr>
      <w:r>
        <w:rPr>
          <w:rFonts w:hint="eastAsia" w:ascii="宋体" w:hAnsi="宋体" w:cs="宋体"/>
          <w:sz w:val="24"/>
        </w:rPr>
        <w:t>乙方应诚实信用，确保合同履行，不向甲方进行商业贿赂或者提供不正当利益。</w:t>
      </w:r>
    </w:p>
    <w:p w14:paraId="614A508B">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第十一条  权利保障及归属</w:t>
      </w:r>
    </w:p>
    <w:p w14:paraId="5F258AE6">
      <w:pPr>
        <w:spacing w:line="560" w:lineRule="exact"/>
        <w:ind w:firstLine="480" w:firstLineChars="200"/>
        <w:rPr>
          <w:rFonts w:hint="eastAsia" w:ascii="宋体" w:hAnsi="宋体" w:cs="宋体"/>
          <w:sz w:val="24"/>
        </w:rPr>
      </w:pPr>
      <w:r>
        <w:rPr>
          <w:rFonts w:hint="eastAsia" w:ascii="宋体" w:hAnsi="宋体" w:cs="宋体"/>
          <w:sz w:val="24"/>
        </w:rPr>
        <w:t>乙方应保证就本合同履行所提供的服务、物品、设备、信息资料等的全部和部分均不会受到第三方关于侵犯专利权、商标权或著作权等知识产权及其他权利的指控。任何第三方如果提出侵权指控，乙方应承担可能发生的一切法律责任和费用。乙方及其人员因履行本合同所完成的各项成果或利用因本合同履行而获知的数据、信息、资料、过程文件等而产生的任何作品，其知识产权和其他权益均归甲方单方所有。未经甲方事先书面许可，乙方及其人员不得为本合同约定事务之外的任何目的、以任何形式自行使用、擅自许可第三方使用或向第三方透露部分或全部信息，存在前述任意情况时均视为乙方侵权并应承担各方因此产生的费用、损失及各项法律责任。</w:t>
      </w:r>
      <w:bookmarkStart w:id="57" w:name="OLE_LINK4"/>
      <w:bookmarkEnd w:id="57"/>
      <w:r>
        <w:rPr>
          <w:rFonts w:ascii="宋体" w:hAnsi="宋体" w:cs="宋体"/>
          <w:sz w:val="24"/>
        </w:rPr>
        <w:t>本条款不受本合同及合同其他条款的影响，均持续有效</w:t>
      </w:r>
      <w:r>
        <w:rPr>
          <w:rFonts w:hint="eastAsia" w:ascii="宋体" w:hAnsi="宋体" w:cs="宋体"/>
          <w:sz w:val="24"/>
        </w:rPr>
        <w:t>。</w:t>
      </w:r>
    </w:p>
    <w:p w14:paraId="0E123D48">
      <w:pPr>
        <w:widowControl/>
        <w:shd w:val="clear" w:color="auto" w:fill="FFFFFF"/>
        <w:spacing w:line="560" w:lineRule="exact"/>
        <w:ind w:firstLine="472" w:firstLineChars="196"/>
        <w:jc w:val="left"/>
        <w:rPr>
          <w:rFonts w:hint="eastAsia" w:ascii="宋体" w:hAnsi="宋体" w:cs="宋体"/>
          <w:b/>
          <w:bCs/>
          <w:sz w:val="24"/>
        </w:rPr>
      </w:pPr>
      <w:r>
        <w:rPr>
          <w:rFonts w:hint="eastAsia" w:ascii="宋体" w:hAnsi="宋体" w:cs="宋体"/>
          <w:b/>
          <w:bCs/>
          <w:sz w:val="24"/>
        </w:rPr>
        <w:t>第十二条  违约责任</w:t>
      </w:r>
    </w:p>
    <w:p w14:paraId="35E94E44">
      <w:pPr>
        <w:pStyle w:val="20"/>
        <w:overflowPunct w:val="0"/>
        <w:adjustRightInd w:val="0"/>
        <w:spacing w:before="0" w:beforeAutospacing="0" w:after="0" w:afterAutospacing="0" w:line="560" w:lineRule="exact"/>
        <w:ind w:firstLine="480" w:firstLineChars="200"/>
        <w:jc w:val="both"/>
        <w:rPr>
          <w:rFonts w:hint="eastAsia" w:ascii="宋体" w:hAnsi="宋体" w:eastAsia="宋体" w:cs="宋体"/>
          <w:kern w:val="2"/>
          <w:szCs w:val="24"/>
        </w:rPr>
      </w:pPr>
      <w:r>
        <w:rPr>
          <w:rFonts w:hint="eastAsia" w:ascii="宋体" w:hAnsi="宋体" w:eastAsia="宋体" w:cs="宋体"/>
          <w:kern w:val="2"/>
          <w:szCs w:val="24"/>
        </w:rPr>
        <w:t>1、由于乙方工作的错误或遗漏造成本合同约定的服务或成果未按进度完成或未达到要求的，乙方除负责及时采取有效补救措施外，应赔偿由此导致的甲方或项目产生的费用增项、全部损失等责任。</w:t>
      </w:r>
    </w:p>
    <w:p w14:paraId="11E8B095">
      <w:pPr>
        <w:pStyle w:val="20"/>
        <w:overflowPunct w:val="0"/>
        <w:adjustRightInd w:val="0"/>
        <w:spacing w:before="0" w:beforeAutospacing="0" w:after="0" w:afterAutospacing="0" w:line="560" w:lineRule="exact"/>
        <w:ind w:firstLine="480" w:firstLineChars="200"/>
        <w:jc w:val="both"/>
        <w:rPr>
          <w:rFonts w:hint="eastAsia" w:ascii="宋体" w:hAnsi="宋体" w:eastAsia="宋体" w:cs="宋体"/>
          <w:kern w:val="2"/>
          <w:szCs w:val="24"/>
        </w:rPr>
      </w:pPr>
      <w:r>
        <w:rPr>
          <w:rFonts w:hint="eastAsia" w:ascii="宋体" w:hAnsi="宋体" w:eastAsia="宋体" w:cs="宋体"/>
          <w:kern w:val="2"/>
          <w:szCs w:val="24"/>
        </w:rPr>
        <w:t xml:space="preserve">2、乙方未按本合同的约定完成全部或部分项目事务；乙方开展的部分或全部项目事务未达到本合同约定或要求的，甲方均有权要求乙方限期整改，逾期不整改或整改后仍达不到甲方要求的，甲方均有权单方解除本合同并要求乙方承担甲方因此产生的费用增项（含另行委托第三方的费用）、损失及责任等。乙方应向甲方支付合同总价1%的违约金，同时乙方应退回甲方已支付的价款。 </w:t>
      </w:r>
    </w:p>
    <w:p w14:paraId="09E4E22C">
      <w:pPr>
        <w:pStyle w:val="20"/>
        <w:overflowPunct w:val="0"/>
        <w:adjustRightInd w:val="0"/>
        <w:spacing w:before="0" w:beforeAutospacing="0" w:after="0" w:afterAutospacing="0" w:line="560" w:lineRule="exact"/>
        <w:ind w:firstLine="480" w:firstLineChars="200"/>
        <w:jc w:val="both"/>
        <w:rPr>
          <w:rFonts w:hint="eastAsia" w:ascii="宋体" w:hAnsi="宋体" w:eastAsia="宋体" w:cs="宋体"/>
          <w:kern w:val="2"/>
          <w:szCs w:val="24"/>
        </w:rPr>
      </w:pPr>
      <w:r>
        <w:rPr>
          <w:rFonts w:hint="eastAsia" w:ascii="宋体" w:hAnsi="宋体" w:eastAsia="宋体" w:cs="宋体"/>
          <w:kern w:val="2"/>
          <w:szCs w:val="24"/>
        </w:rPr>
        <w:t xml:space="preserve">3、乙方在承担违约责任后，仍应继续履行合同规定的义务（甲方解除合同的除外）。甲方未能及时追究乙方的任何一项违约责任并不表明甲方放弃追究乙方该项或其他违约责任。 </w:t>
      </w:r>
    </w:p>
    <w:p w14:paraId="4E9D4A8B">
      <w:pPr>
        <w:pStyle w:val="20"/>
        <w:overflowPunct w:val="0"/>
        <w:adjustRightInd w:val="0"/>
        <w:spacing w:before="0" w:beforeAutospacing="0" w:after="0" w:afterAutospacing="0" w:line="560" w:lineRule="exact"/>
        <w:ind w:firstLine="480" w:firstLineChars="200"/>
        <w:jc w:val="both"/>
        <w:rPr>
          <w:rFonts w:hint="eastAsia" w:ascii="宋体" w:hAnsi="宋体" w:eastAsia="宋体" w:cs="宋体"/>
          <w:kern w:val="2"/>
          <w:szCs w:val="24"/>
        </w:rPr>
      </w:pPr>
      <w:r>
        <w:rPr>
          <w:rFonts w:hint="eastAsia" w:ascii="宋体" w:hAnsi="宋体" w:eastAsia="宋体" w:cs="宋体"/>
          <w:kern w:val="2"/>
          <w:szCs w:val="24"/>
        </w:rPr>
        <w:t>4、乙方及其人员出现下列任一情形时，甲方均有权单方解除本合同并要求赔偿损失及追究责任:</w:t>
      </w:r>
    </w:p>
    <w:p w14:paraId="27C63C51">
      <w:pPr>
        <w:pStyle w:val="20"/>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（1）就全部或部分约定事务存在未在约定时间内完成或未按约开展之任一情形；</w:t>
      </w:r>
    </w:p>
    <w:p w14:paraId="639A954D">
      <w:pPr>
        <w:pStyle w:val="20"/>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（2）提交的成果内容存在错误或遗漏，累计达5处/次的；</w:t>
      </w:r>
    </w:p>
    <w:p w14:paraId="48B45BD5">
      <w:pPr>
        <w:pStyle w:val="20"/>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（3）擅自中止或终止全部或部分服务的；</w:t>
      </w:r>
    </w:p>
    <w:p w14:paraId="1E942628">
      <w:pPr>
        <w:pStyle w:val="20"/>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（4）乙方及其人员存在利用因履行本合同获得的数据、报告、成果等从事非项目事务或从事谋取经济、名誉等可获得利益行为的；</w:t>
      </w:r>
    </w:p>
    <w:p w14:paraId="5AC7449D">
      <w:pPr>
        <w:pStyle w:val="20"/>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（5）乙方及其人员存在损害甲方权益或对项目造成不利影响行为的（包括但不限于：违反保密约定、解散、注销、破产、吊销执照等）；</w:t>
      </w:r>
    </w:p>
    <w:p w14:paraId="10505D22">
      <w:pPr>
        <w:pStyle w:val="20"/>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（6）导致甲方参与争议或纠纷的；</w:t>
      </w:r>
    </w:p>
    <w:p w14:paraId="16A82B66">
      <w:pPr>
        <w:pStyle w:val="20"/>
        <w:overflowPunct w:val="0"/>
        <w:adjustRightInd w:val="0"/>
        <w:snapToGrid w:val="0"/>
        <w:spacing w:before="0" w:beforeAutospacing="0" w:after="0" w:afterAutospacing="0" w:line="560" w:lineRule="exact"/>
        <w:ind w:firstLine="278"/>
        <w:jc w:val="both"/>
        <w:rPr>
          <w:rFonts w:hint="eastAsia" w:ascii="宋体" w:hAnsi="宋体" w:eastAsia="宋体" w:cs="宋体"/>
          <w:kern w:val="2"/>
          <w:szCs w:val="24"/>
        </w:rPr>
      </w:pPr>
      <w:r>
        <w:rPr>
          <w:rFonts w:hint="eastAsia" w:ascii="宋体" w:hAnsi="宋体" w:eastAsia="宋体" w:cs="宋体"/>
          <w:kern w:val="2"/>
          <w:szCs w:val="24"/>
        </w:rPr>
        <w:t>（7）出现本合同约定的其他应解除合同的情形。</w:t>
      </w:r>
    </w:p>
    <w:p w14:paraId="663F4A3E">
      <w:pPr>
        <w:pStyle w:val="20"/>
        <w:overflowPunct w:val="0"/>
        <w:adjustRightInd w:val="0"/>
        <w:spacing w:before="0" w:beforeAutospacing="0" w:after="0" w:afterAutospacing="0" w:line="560" w:lineRule="exact"/>
        <w:ind w:firstLine="480" w:firstLineChars="200"/>
        <w:jc w:val="both"/>
        <w:rPr>
          <w:rFonts w:hint="eastAsia" w:ascii="宋体" w:hAnsi="宋体" w:eastAsia="宋体" w:cs="宋体"/>
          <w:kern w:val="2"/>
          <w:szCs w:val="24"/>
        </w:rPr>
      </w:pPr>
      <w:r>
        <w:rPr>
          <w:rFonts w:hint="eastAsia" w:ascii="宋体" w:hAnsi="宋体" w:eastAsia="宋体" w:cs="宋体"/>
          <w:kern w:val="2"/>
          <w:szCs w:val="24"/>
        </w:rPr>
        <w:t>5、本合同约定的应由乙方承担的费用增项、损失、违约金等款项，甲方均有权在合同价款中予以抵扣，无法全额抵扣的，差额部分由乙方继续承担给付义务。</w:t>
      </w:r>
    </w:p>
    <w:p w14:paraId="0C174361">
      <w:pPr>
        <w:widowControl/>
        <w:shd w:val="clear" w:color="auto" w:fill="FFFFFF"/>
        <w:spacing w:line="560" w:lineRule="exact"/>
        <w:ind w:firstLine="472" w:firstLineChars="196"/>
        <w:rPr>
          <w:rFonts w:hint="eastAsia" w:ascii="宋体" w:hAnsi="宋体" w:cs="宋体"/>
          <w:b/>
          <w:bCs/>
          <w:sz w:val="24"/>
        </w:rPr>
      </w:pPr>
      <w:r>
        <w:rPr>
          <w:rFonts w:hint="eastAsia" w:ascii="宋体" w:hAnsi="宋体" w:cs="宋体"/>
          <w:b/>
          <w:bCs/>
          <w:sz w:val="24"/>
        </w:rPr>
        <w:t>第十三条  保密条款</w:t>
      </w:r>
    </w:p>
    <w:p w14:paraId="0B0AA942">
      <w:pPr>
        <w:pStyle w:val="20"/>
        <w:overflowPunct w:val="0"/>
        <w:adjustRightInd w:val="0"/>
        <w:spacing w:line="560" w:lineRule="exact"/>
        <w:ind w:firstLine="480" w:firstLineChars="200"/>
        <w:rPr>
          <w:rFonts w:hint="eastAsia" w:ascii="宋体" w:hAnsi="宋体" w:cs="宋体"/>
        </w:rPr>
      </w:pPr>
      <w:r>
        <w:rPr>
          <w:rFonts w:hint="eastAsia" w:ascii="宋体" w:hAnsi="宋体" w:eastAsia="宋体" w:cs="宋体"/>
          <w:kern w:val="2"/>
          <w:szCs w:val="24"/>
        </w:rPr>
        <w:t>乙方及其人员对本合同履行过程中所形成或知悉的甲方各类信息及书面和电子材料（包括但不限于本合同；本项目全部数据、文件资料、记录及沟通信息、成果等</w:t>
      </w:r>
      <w:r>
        <w:rPr>
          <w:rFonts w:hint="eastAsia" w:cs="宋体" w:asciiTheme="minorEastAsia" w:hAnsiTheme="minorEastAsia" w:eastAsiaTheme="minorEastAsia"/>
          <w:kern w:val="2"/>
          <w:szCs w:val="24"/>
        </w:rPr>
        <w:t>，</w:t>
      </w:r>
      <w:r>
        <w:rPr>
          <w:rFonts w:cs="宋体" w:asciiTheme="minorEastAsia" w:hAnsiTheme="minorEastAsia" w:eastAsiaTheme="minorEastAsia"/>
        </w:rPr>
        <w:t>以及因合同履行而接触或获知的甲方、项目及相关第三方未公开信息、资料等均有保密义务</w:t>
      </w:r>
      <w:r>
        <w:rPr>
          <w:rFonts w:hint="eastAsia" w:cs="宋体" w:asciiTheme="minorEastAsia" w:hAnsiTheme="minorEastAsia" w:eastAsiaTheme="minorEastAsia"/>
          <w:kern w:val="2"/>
          <w:szCs w:val="24"/>
        </w:rPr>
        <w:t>）</w:t>
      </w:r>
      <w:r>
        <w:rPr>
          <w:rFonts w:hint="eastAsia" w:ascii="宋体" w:hAnsi="宋体" w:eastAsia="宋体" w:cs="宋体"/>
          <w:kern w:val="2"/>
          <w:szCs w:val="24"/>
        </w:rPr>
        <w:t>均有保密义务（有真实有效的证据证明该信息属于公知信息或者事先得到甲方书面授权的除外），乙方及其人员不得搜集、获取履行本合同约定事务所需取得的必要信息、材料以外的其他资料和信息；如获知的，应及时告知甲方，且乙方及其人员应立即向甲方归还所获知材料等的原件及复制件，由乙方保证不自行使用或使第三方以任何方式知晓、使用前述资料及信息。本合同约定的保密义务在本合同终止后继续有效。乙方因违反保密义务而给甲方造成损失的，应承担因此导致的直接和间接经济损失及各类法律责任。</w:t>
      </w:r>
      <w:r>
        <w:rPr>
          <w:rFonts w:ascii="宋体" w:hAnsi="宋体" w:eastAsia="宋体" w:cs="宋体"/>
          <w:kern w:val="2"/>
          <w:szCs w:val="24"/>
        </w:rPr>
        <w:t>本条款不受本合同及合同其他条款的影响，均持续有效。</w:t>
      </w:r>
    </w:p>
    <w:p w14:paraId="026B1660">
      <w:pPr>
        <w:widowControl/>
        <w:shd w:val="clear" w:color="auto" w:fill="FFFFFF"/>
        <w:spacing w:line="560" w:lineRule="exact"/>
        <w:ind w:firstLine="472" w:firstLineChars="196"/>
        <w:rPr>
          <w:rFonts w:hint="eastAsia" w:ascii="宋体" w:hAnsi="宋体" w:cs="宋体"/>
          <w:b/>
          <w:bCs/>
          <w:sz w:val="24"/>
        </w:rPr>
      </w:pPr>
      <w:r>
        <w:rPr>
          <w:rFonts w:hint="eastAsia" w:ascii="宋体" w:hAnsi="宋体" w:cs="宋体"/>
          <w:b/>
          <w:bCs/>
          <w:sz w:val="24"/>
        </w:rPr>
        <w:t>第十三条 合同生效及其他</w:t>
      </w:r>
    </w:p>
    <w:p w14:paraId="4D8B2E48">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1、本项目的采购文件、响应文件、合同附件、成交通知书，乙方在响应、谈判、评审过程中所作其它有关承诺、声明、书面澄清等均为合同的有效组成部分，与本合同具有同等法律效力；</w:t>
      </w:r>
    </w:p>
    <w:p w14:paraId="6559764B">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2、本合同自双方签字或盖章之日起生效；</w:t>
      </w:r>
    </w:p>
    <w:p w14:paraId="79870A82">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3、本合同一式肆份，甲乙双方各执二份；</w:t>
      </w:r>
    </w:p>
    <w:p w14:paraId="79124251">
      <w:pPr>
        <w:widowControl/>
        <w:shd w:val="clear" w:color="auto" w:fill="FFFFFF"/>
        <w:spacing w:line="560" w:lineRule="exact"/>
        <w:ind w:firstLine="480" w:firstLineChars="200"/>
        <w:rPr>
          <w:rFonts w:hint="eastAsia" w:ascii="宋体" w:hAnsi="宋体" w:cs="宋体"/>
          <w:sz w:val="24"/>
        </w:rPr>
      </w:pPr>
      <w:r>
        <w:rPr>
          <w:rFonts w:hint="eastAsia" w:ascii="宋体" w:hAnsi="宋体" w:cs="宋体"/>
          <w:sz w:val="24"/>
        </w:rPr>
        <w:t>4、本合同应按照中华人民共和国的现行法律进行解释。</w:t>
      </w:r>
    </w:p>
    <w:p w14:paraId="7774D242">
      <w:pPr>
        <w:pStyle w:val="30"/>
        <w:ind w:firstLine="0"/>
        <w:rPr>
          <w:rFonts w:hint="eastAsia" w:hAnsi="宋体" w:cs="宋体"/>
          <w:kern w:val="2"/>
          <w:sz w:val="24"/>
          <w:szCs w:val="24"/>
        </w:rPr>
      </w:pPr>
    </w:p>
    <w:p w14:paraId="03E866D4">
      <w:pPr>
        <w:rPr>
          <w:rFonts w:hint="eastAsia" w:ascii="宋体" w:hAnsi="宋体" w:cs="宋体"/>
          <w:sz w:val="24"/>
        </w:rPr>
      </w:pPr>
    </w:p>
    <w:p w14:paraId="5F6D4306">
      <w:pPr>
        <w:pStyle w:val="35"/>
        <w:ind w:firstLine="480" w:firstLineChars="200"/>
        <w:jc w:val="left"/>
      </w:pPr>
    </w:p>
    <w:p w14:paraId="3B714BF8">
      <w:pPr>
        <w:pStyle w:val="30"/>
      </w:pPr>
    </w:p>
    <w:p w14:paraId="23D5A712">
      <w:pPr>
        <w:spacing w:line="600" w:lineRule="auto"/>
        <w:ind w:left="210" w:leftChars="100"/>
        <w:jc w:val="left"/>
        <w:rPr>
          <w:rFonts w:hint="eastAsia" w:ascii="宋体" w:hAnsi="宋体" w:cs="宋体"/>
          <w:b/>
          <w:bCs/>
          <w:sz w:val="24"/>
        </w:rPr>
      </w:pPr>
      <w:r>
        <w:rPr>
          <w:rFonts w:hint="eastAsia" w:ascii="宋体" w:hAnsi="宋体" w:cs="宋体"/>
          <w:b/>
          <w:bCs/>
          <w:sz w:val="24"/>
        </w:rPr>
        <w:t xml:space="preserve">委托方（甲方）：                           服务方（乙方）：                     </w:t>
      </w:r>
    </w:p>
    <w:p w14:paraId="5C1D2613">
      <w:pPr>
        <w:spacing w:line="600" w:lineRule="auto"/>
        <w:ind w:left="210" w:leftChars="100"/>
        <w:jc w:val="left"/>
        <w:rPr>
          <w:rFonts w:hint="eastAsia" w:ascii="宋体" w:hAnsi="宋体" w:cs="宋体"/>
          <w:b/>
          <w:bCs/>
          <w:sz w:val="24"/>
        </w:rPr>
      </w:pPr>
      <w:r>
        <w:rPr>
          <w:rFonts w:hint="eastAsia" w:ascii="宋体" w:hAnsi="宋体" w:cs="宋体"/>
          <w:b/>
          <w:bCs/>
          <w:sz w:val="24"/>
        </w:rPr>
        <w:t xml:space="preserve">                                 签订时间：</w:t>
      </w:r>
    </w:p>
    <w:p w14:paraId="32E79327">
      <w:pPr>
        <w:spacing w:line="600" w:lineRule="auto"/>
        <w:ind w:firstLine="120" w:firstLineChars="50"/>
        <w:rPr>
          <w:rFonts w:hint="eastAsia" w:ascii="宋体" w:hAnsi="宋体" w:cs="宋体"/>
          <w:b/>
          <w:bCs/>
          <w:sz w:val="24"/>
        </w:rPr>
      </w:pPr>
      <w:r>
        <w:rPr>
          <w:rFonts w:hint="eastAsia" w:ascii="宋体" w:hAnsi="宋体" w:cs="宋体"/>
          <w:b/>
          <w:bCs/>
          <w:sz w:val="24"/>
        </w:rPr>
        <w:t>（盖章）                                   （盖章）</w:t>
      </w:r>
    </w:p>
    <w:p w14:paraId="1593D23D">
      <w:pPr>
        <w:spacing w:line="600" w:lineRule="auto"/>
        <w:ind w:firstLine="482" w:firstLineChars="200"/>
        <w:rPr>
          <w:rFonts w:hint="eastAsia" w:ascii="宋体" w:hAnsi="宋体" w:cs="宋体"/>
          <w:b/>
          <w:bCs/>
          <w:sz w:val="24"/>
        </w:rPr>
      </w:pPr>
    </w:p>
    <w:p w14:paraId="2FCB961A">
      <w:pPr>
        <w:pStyle w:val="3"/>
      </w:pPr>
      <w:r>
        <w:rPr>
          <w:rFonts w:hint="eastAsia" w:ascii="宋体" w:hAnsi="宋体" w:cs="宋体"/>
          <w:b w:val="0"/>
          <w:bCs w:val="0"/>
          <w:kern w:val="2"/>
          <w:sz w:val="24"/>
          <w:szCs w:val="24"/>
          <w:lang w:val="en-US"/>
        </w:rPr>
        <w:br w:type="page"/>
      </w:r>
      <w:bookmarkStart w:id="58" w:name="_Toc16248808"/>
      <w:r>
        <w:rPr>
          <w:rFonts w:hint="eastAsia"/>
        </w:rPr>
        <w:t>第</w:t>
      </w:r>
      <w:r>
        <w:rPr>
          <w:rFonts w:hint="eastAsia"/>
          <w:lang w:val="en-US"/>
        </w:rPr>
        <w:t>六</w:t>
      </w:r>
      <w:r>
        <w:rPr>
          <w:rFonts w:hint="eastAsia"/>
        </w:rPr>
        <w:t>章  响应文件格式</w:t>
      </w:r>
      <w:bookmarkEnd w:id="58"/>
    </w:p>
    <w:p w14:paraId="46FE559C">
      <w:pPr>
        <w:pStyle w:val="12"/>
        <w:tabs>
          <w:tab w:val="left" w:pos="2778"/>
          <w:tab w:val="center" w:pos="4213"/>
        </w:tabs>
        <w:spacing w:line="264" w:lineRule="auto"/>
        <w:jc w:val="center"/>
        <w:rPr>
          <w:rFonts w:hint="eastAsia" w:hAnsi="宋体"/>
          <w:b/>
          <w:bCs/>
          <w:sz w:val="30"/>
          <w:szCs w:val="30"/>
        </w:rPr>
      </w:pPr>
      <w:r>
        <w:rPr>
          <w:rFonts w:hint="eastAsia" w:hAnsi="宋体"/>
          <w:b/>
          <w:bCs/>
          <w:sz w:val="30"/>
          <w:szCs w:val="30"/>
        </w:rPr>
        <w:t>（封面）</w:t>
      </w:r>
    </w:p>
    <w:p w14:paraId="62E21FF6">
      <w:pPr>
        <w:rPr>
          <w:rFonts w:ascii="黑体" w:eastAsia="黑体"/>
          <w:bCs/>
          <w:sz w:val="32"/>
        </w:rPr>
      </w:pPr>
    </w:p>
    <w:p w14:paraId="72DAC8B0">
      <w:pPr>
        <w:rPr>
          <w:rFonts w:ascii="黑体" w:eastAsia="黑体"/>
          <w:bCs/>
          <w:sz w:val="32"/>
        </w:rPr>
      </w:pPr>
    </w:p>
    <w:p w14:paraId="57ABA7C9">
      <w:pPr>
        <w:jc w:val="center"/>
        <w:rPr>
          <w:rFonts w:ascii="黑体" w:eastAsia="黑体"/>
          <w:bCs/>
          <w:sz w:val="52"/>
          <w:szCs w:val="52"/>
        </w:rPr>
      </w:pPr>
      <w:r>
        <w:rPr>
          <w:rFonts w:hint="eastAsia" w:ascii="黑体" w:eastAsia="黑体"/>
          <w:bCs/>
          <w:sz w:val="52"/>
          <w:szCs w:val="52"/>
        </w:rPr>
        <w:t>响</w:t>
      </w:r>
    </w:p>
    <w:p w14:paraId="48899CCD">
      <w:pPr>
        <w:jc w:val="center"/>
        <w:rPr>
          <w:rFonts w:ascii="黑体" w:eastAsia="黑体"/>
          <w:bCs/>
          <w:sz w:val="52"/>
          <w:szCs w:val="52"/>
        </w:rPr>
      </w:pPr>
      <w:r>
        <w:rPr>
          <w:rFonts w:hint="eastAsia" w:ascii="黑体" w:eastAsia="黑体"/>
          <w:bCs/>
          <w:sz w:val="52"/>
          <w:szCs w:val="52"/>
        </w:rPr>
        <w:t>应</w:t>
      </w:r>
    </w:p>
    <w:p w14:paraId="208093A5">
      <w:pPr>
        <w:jc w:val="center"/>
        <w:rPr>
          <w:rFonts w:ascii="黑体" w:eastAsia="黑体"/>
          <w:bCs/>
          <w:sz w:val="52"/>
          <w:szCs w:val="52"/>
        </w:rPr>
      </w:pPr>
      <w:r>
        <w:rPr>
          <w:rFonts w:hint="eastAsia" w:ascii="黑体" w:eastAsia="黑体"/>
          <w:bCs/>
          <w:sz w:val="52"/>
          <w:szCs w:val="52"/>
        </w:rPr>
        <w:t>文</w:t>
      </w:r>
    </w:p>
    <w:p w14:paraId="653BD083">
      <w:pPr>
        <w:jc w:val="center"/>
        <w:rPr>
          <w:rFonts w:ascii="黑体" w:eastAsia="黑体"/>
          <w:bCs/>
          <w:sz w:val="52"/>
          <w:szCs w:val="52"/>
        </w:rPr>
      </w:pPr>
      <w:r>
        <w:rPr>
          <w:rFonts w:hint="eastAsia" w:ascii="黑体" w:eastAsia="黑体"/>
          <w:bCs/>
          <w:sz w:val="52"/>
          <w:szCs w:val="52"/>
        </w:rPr>
        <w:t>件</w:t>
      </w:r>
    </w:p>
    <w:p w14:paraId="7A7D9A3B">
      <w:pPr>
        <w:pStyle w:val="30"/>
        <w:ind w:firstLine="0"/>
        <w:rPr>
          <w:rFonts w:ascii="楷体_GB2312" w:eastAsia="楷体_GB2312"/>
          <w:bCs/>
          <w:sz w:val="28"/>
        </w:rPr>
      </w:pPr>
    </w:p>
    <w:p w14:paraId="32229CB9">
      <w:pPr>
        <w:jc w:val="center"/>
        <w:rPr>
          <w:rFonts w:eastAsia="楷体_GB2312"/>
        </w:rPr>
      </w:pPr>
      <w:r>
        <w:rPr>
          <w:rFonts w:hint="eastAsia" w:ascii="楷体_GB2312" w:eastAsia="楷体_GB2312"/>
          <w:bCs/>
          <w:sz w:val="28"/>
        </w:rPr>
        <w:t>（正本/副本）</w:t>
      </w:r>
    </w:p>
    <w:p w14:paraId="54895562">
      <w:pPr>
        <w:spacing w:line="460" w:lineRule="exact"/>
        <w:ind w:firstLine="2715"/>
        <w:rPr>
          <w:rFonts w:ascii="黑体" w:eastAsia="黑体"/>
          <w:bCs/>
          <w:sz w:val="28"/>
          <w:szCs w:val="28"/>
        </w:rPr>
      </w:pPr>
    </w:p>
    <w:p w14:paraId="2501A194">
      <w:pPr>
        <w:spacing w:line="460" w:lineRule="exact"/>
        <w:ind w:firstLine="1540" w:firstLineChars="550"/>
        <w:rPr>
          <w:rFonts w:ascii="黑体" w:eastAsia="黑体"/>
          <w:bCs/>
          <w:sz w:val="28"/>
          <w:szCs w:val="28"/>
        </w:rPr>
      </w:pPr>
      <w:r>
        <w:rPr>
          <w:rFonts w:hint="eastAsia" w:ascii="黑体" w:eastAsia="黑体"/>
          <w:bCs/>
          <w:sz w:val="28"/>
          <w:szCs w:val="28"/>
        </w:rPr>
        <w:t>项目编号：</w:t>
      </w:r>
    </w:p>
    <w:p w14:paraId="411AB847">
      <w:pPr>
        <w:spacing w:line="460" w:lineRule="exact"/>
        <w:ind w:firstLine="1540" w:firstLineChars="550"/>
        <w:rPr>
          <w:rFonts w:ascii="黑体" w:eastAsia="黑体"/>
          <w:bCs/>
          <w:sz w:val="28"/>
          <w:szCs w:val="28"/>
        </w:rPr>
      </w:pPr>
      <w:r>
        <w:rPr>
          <w:rFonts w:hint="eastAsia" w:ascii="黑体" w:eastAsia="黑体"/>
          <w:bCs/>
          <w:sz w:val="28"/>
          <w:szCs w:val="28"/>
        </w:rPr>
        <w:t>项目名称：</w:t>
      </w:r>
    </w:p>
    <w:p w14:paraId="556236B3">
      <w:pPr>
        <w:spacing w:line="460" w:lineRule="exact"/>
        <w:ind w:firstLine="1540" w:firstLineChars="550"/>
        <w:rPr>
          <w:rFonts w:ascii="黑体" w:eastAsia="黑体"/>
          <w:bCs/>
          <w:sz w:val="28"/>
          <w:szCs w:val="28"/>
        </w:rPr>
      </w:pPr>
      <w:r>
        <w:rPr>
          <w:rFonts w:hint="eastAsia" w:ascii="黑体" w:eastAsia="黑体"/>
          <w:bCs/>
          <w:sz w:val="28"/>
          <w:szCs w:val="28"/>
        </w:rPr>
        <w:t>报价供应商：</w:t>
      </w:r>
    </w:p>
    <w:p w14:paraId="63B4374A">
      <w:pPr>
        <w:rPr>
          <w:rFonts w:ascii="黑体" w:eastAsia="黑体"/>
          <w:bCs/>
          <w:sz w:val="32"/>
        </w:rPr>
      </w:pPr>
    </w:p>
    <w:p w14:paraId="647B8167">
      <w:pPr>
        <w:jc w:val="center"/>
        <w:rPr>
          <w:rFonts w:ascii="黑体" w:eastAsia="黑体"/>
          <w:bCs/>
          <w:sz w:val="36"/>
          <w:szCs w:val="36"/>
        </w:rPr>
      </w:pPr>
    </w:p>
    <w:p w14:paraId="788D010B">
      <w:pPr>
        <w:jc w:val="center"/>
        <w:rPr>
          <w:rFonts w:hint="eastAsia" w:ascii="黑体" w:hAnsi="宋体" w:eastAsia="黑体"/>
          <w:bCs/>
          <w:sz w:val="24"/>
        </w:rPr>
      </w:pPr>
      <w:r>
        <w:rPr>
          <w:rFonts w:hint="eastAsia" w:ascii="黑体" w:eastAsia="黑体"/>
          <w:bCs/>
          <w:sz w:val="36"/>
          <w:szCs w:val="36"/>
        </w:rPr>
        <w:t>二○二四年  月  日</w:t>
      </w:r>
      <w:bookmarkStart w:id="59" w:name="一．报价函（格式）"/>
      <w:bookmarkEnd w:id="59"/>
    </w:p>
    <w:p w14:paraId="11DCA4E7">
      <w:pPr>
        <w:widowControl/>
        <w:jc w:val="left"/>
        <w:rPr>
          <w:rFonts w:hint="eastAsia" w:ascii="黑体" w:hAnsi="宋体" w:eastAsia="黑体"/>
          <w:bCs/>
          <w:sz w:val="24"/>
        </w:rPr>
      </w:pPr>
      <w:r>
        <w:rPr>
          <w:rFonts w:ascii="黑体" w:hAnsi="宋体" w:eastAsia="黑体"/>
          <w:bCs/>
          <w:sz w:val="24"/>
        </w:rPr>
        <w:br w:type="page"/>
      </w:r>
    </w:p>
    <w:p w14:paraId="21642369">
      <w:pPr>
        <w:pStyle w:val="12"/>
        <w:adjustRightInd w:val="0"/>
        <w:snapToGrid w:val="0"/>
        <w:spacing w:line="360" w:lineRule="auto"/>
        <w:rPr>
          <w:rFonts w:ascii="Times New Roman" w:hAnsi="Times New Roman"/>
          <w:b/>
          <w:sz w:val="28"/>
          <w:szCs w:val="20"/>
        </w:rPr>
      </w:pPr>
      <w:r>
        <w:rPr>
          <w:rFonts w:hint="eastAsia" w:ascii="Times New Roman" w:hAnsi="Times New Roman"/>
          <w:b/>
          <w:sz w:val="28"/>
          <w:szCs w:val="20"/>
        </w:rPr>
        <w:t>（一）响应函（格式）</w:t>
      </w:r>
    </w:p>
    <w:p w14:paraId="773B7CB3">
      <w:pPr>
        <w:spacing w:line="360" w:lineRule="auto"/>
        <w:jc w:val="center"/>
        <w:rPr>
          <w:rFonts w:hint="eastAsia" w:hAnsi="宋体"/>
          <w:bCs/>
          <w:sz w:val="24"/>
        </w:rPr>
      </w:pPr>
      <w:r>
        <w:rPr>
          <w:rFonts w:hint="eastAsia" w:ascii="黑体" w:eastAsia="黑体"/>
          <w:bCs/>
          <w:sz w:val="28"/>
          <w:szCs w:val="28"/>
        </w:rPr>
        <w:t>响应函</w:t>
      </w:r>
    </w:p>
    <w:p w14:paraId="35FC5C0D">
      <w:pPr>
        <w:widowControl/>
        <w:topLinePunct/>
        <w:spacing w:before="4" w:line="360" w:lineRule="auto"/>
        <w:rPr>
          <w:rFonts w:hint="eastAsia" w:hAnsi="宋体"/>
          <w:sz w:val="24"/>
        </w:rPr>
      </w:pPr>
      <w:r>
        <w:rPr>
          <w:rFonts w:hint="eastAsia" w:hAnsi="宋体"/>
          <w:sz w:val="24"/>
        </w:rPr>
        <w:t>致：</w:t>
      </w:r>
    </w:p>
    <w:p w14:paraId="22C1CEFE">
      <w:pPr>
        <w:spacing w:line="360" w:lineRule="auto"/>
        <w:ind w:firstLine="480" w:firstLineChars="200"/>
        <w:rPr>
          <w:rFonts w:hint="eastAsia" w:hAnsi="宋体"/>
          <w:bCs/>
          <w:sz w:val="24"/>
        </w:rPr>
      </w:pPr>
      <w:r>
        <w:rPr>
          <w:rFonts w:hint="eastAsia" w:hAnsi="宋体"/>
          <w:bCs/>
          <w:sz w:val="24"/>
        </w:rPr>
        <w:t>我方收到贵方编号</w:t>
      </w:r>
      <w:r>
        <w:rPr>
          <w:rFonts w:hint="eastAsia" w:hAnsi="宋体"/>
          <w:bCs/>
          <w:sz w:val="24"/>
          <w:u w:val="single"/>
        </w:rPr>
        <w:t xml:space="preserve">      </w:t>
      </w:r>
      <w:r>
        <w:rPr>
          <w:rFonts w:hint="eastAsia" w:hAnsi="宋体"/>
          <w:bCs/>
          <w:sz w:val="24"/>
        </w:rPr>
        <w:t>磋商文件，经仔细阅读和研究，我方决定参加</w:t>
      </w:r>
      <w:r>
        <w:rPr>
          <w:rFonts w:hint="eastAsia" w:hAnsi="宋体"/>
          <w:bCs/>
          <w:sz w:val="24"/>
          <w:u w:val="single"/>
        </w:rPr>
        <w:t xml:space="preserve">            </w:t>
      </w:r>
      <w:r>
        <w:rPr>
          <w:rFonts w:hint="eastAsia" w:hAnsi="宋体"/>
          <w:bCs/>
          <w:sz w:val="24"/>
        </w:rPr>
        <w:t>项目的投标。</w:t>
      </w:r>
    </w:p>
    <w:p w14:paraId="53C93262">
      <w:pPr>
        <w:numPr>
          <w:ilvl w:val="0"/>
          <w:numId w:val="5"/>
        </w:numPr>
        <w:tabs>
          <w:tab w:val="left" w:pos="315"/>
          <w:tab w:val="left" w:pos="840"/>
          <w:tab w:val="left" w:pos="945"/>
          <w:tab w:val="left" w:pos="1050"/>
          <w:tab w:val="left" w:pos="1260"/>
          <w:tab w:val="clear" w:pos="552"/>
        </w:tabs>
        <w:spacing w:line="360" w:lineRule="auto"/>
        <w:ind w:left="0" w:firstLine="525"/>
        <w:rPr>
          <w:rFonts w:hint="eastAsia" w:hAnsi="宋体"/>
          <w:bCs/>
          <w:sz w:val="24"/>
        </w:rPr>
      </w:pPr>
      <w:r>
        <w:rPr>
          <w:rFonts w:hint="eastAsia" w:hAnsi="宋体"/>
          <w:bCs/>
          <w:sz w:val="24"/>
        </w:rPr>
        <w:t>我方愿意按照磋商文件的一切要求，提供本项目的投标，投标总价见《开标一览表》。</w:t>
      </w:r>
    </w:p>
    <w:p w14:paraId="1902F3C9">
      <w:pPr>
        <w:numPr>
          <w:ilvl w:val="0"/>
          <w:numId w:val="5"/>
        </w:numPr>
        <w:tabs>
          <w:tab w:val="left" w:pos="0"/>
          <w:tab w:val="left" w:pos="315"/>
          <w:tab w:val="left" w:pos="525"/>
          <w:tab w:val="left" w:pos="840"/>
          <w:tab w:val="left" w:pos="945"/>
          <w:tab w:val="left" w:pos="1050"/>
          <w:tab w:val="clear" w:pos="552"/>
        </w:tabs>
        <w:spacing w:line="360" w:lineRule="auto"/>
        <w:ind w:left="0" w:firstLine="523" w:firstLineChars="218"/>
        <w:rPr>
          <w:bCs/>
          <w:sz w:val="24"/>
        </w:rPr>
      </w:pPr>
      <w:r>
        <w:rPr>
          <w:rFonts w:hint="eastAsia" w:hAnsi="宋体"/>
          <w:bCs/>
          <w:sz w:val="24"/>
        </w:rPr>
        <w:t>我方愿意提供</w:t>
      </w:r>
      <w:r>
        <w:rPr>
          <w:rFonts w:hint="eastAsia" w:hAnsi="宋体"/>
          <w:sz w:val="24"/>
        </w:rPr>
        <w:t>江苏成建项目管理有限公司</w:t>
      </w:r>
      <w:r>
        <w:rPr>
          <w:rFonts w:hint="eastAsia" w:hAnsi="宋体"/>
          <w:bCs/>
          <w:sz w:val="24"/>
        </w:rPr>
        <w:t>在磋商文件中要求的文件、资料。</w:t>
      </w:r>
    </w:p>
    <w:p w14:paraId="2A0F0577">
      <w:pPr>
        <w:numPr>
          <w:ilvl w:val="0"/>
          <w:numId w:val="5"/>
        </w:numPr>
        <w:tabs>
          <w:tab w:val="left" w:pos="0"/>
          <w:tab w:val="left" w:pos="315"/>
          <w:tab w:val="left" w:pos="525"/>
          <w:tab w:val="left" w:pos="840"/>
          <w:tab w:val="left" w:pos="945"/>
          <w:tab w:val="left" w:pos="1050"/>
          <w:tab w:val="clear" w:pos="552"/>
        </w:tabs>
        <w:spacing w:line="360" w:lineRule="auto"/>
        <w:ind w:left="0" w:firstLine="523" w:firstLineChars="218"/>
        <w:rPr>
          <w:bCs/>
          <w:sz w:val="24"/>
        </w:rPr>
      </w:pPr>
      <w:r>
        <w:rPr>
          <w:bCs/>
          <w:sz w:val="24"/>
        </w:rPr>
        <w:t>我们同意按</w:t>
      </w:r>
      <w:r>
        <w:rPr>
          <w:rFonts w:hint="eastAsia"/>
          <w:bCs/>
          <w:sz w:val="24"/>
        </w:rPr>
        <w:t>磋商文件</w:t>
      </w:r>
      <w:r>
        <w:rPr>
          <w:bCs/>
          <w:sz w:val="24"/>
        </w:rPr>
        <w:t>中的规定，本</w:t>
      </w:r>
      <w:r>
        <w:rPr>
          <w:rFonts w:hint="eastAsia"/>
          <w:bCs/>
          <w:sz w:val="24"/>
        </w:rPr>
        <w:t>响应文件</w:t>
      </w:r>
      <w:r>
        <w:rPr>
          <w:bCs/>
          <w:sz w:val="24"/>
        </w:rPr>
        <w:t>投标的有效期限为开标之日起90天。</w:t>
      </w:r>
    </w:p>
    <w:p w14:paraId="5C705182">
      <w:pPr>
        <w:tabs>
          <w:tab w:val="left" w:pos="945"/>
        </w:tabs>
        <w:spacing w:line="360" w:lineRule="auto"/>
        <w:ind w:firstLine="480" w:firstLineChars="200"/>
        <w:rPr>
          <w:bCs/>
          <w:sz w:val="24"/>
        </w:rPr>
      </w:pPr>
      <w:r>
        <w:rPr>
          <w:bCs/>
          <w:sz w:val="24"/>
        </w:rPr>
        <w:t>四、如果我们的</w:t>
      </w:r>
      <w:r>
        <w:rPr>
          <w:rFonts w:hint="eastAsia"/>
          <w:bCs/>
          <w:sz w:val="24"/>
        </w:rPr>
        <w:t>响应文件</w:t>
      </w:r>
      <w:r>
        <w:rPr>
          <w:bCs/>
          <w:sz w:val="24"/>
        </w:rPr>
        <w:t>被接受，我们将履行</w:t>
      </w:r>
      <w:r>
        <w:rPr>
          <w:rFonts w:hint="eastAsia"/>
          <w:bCs/>
          <w:sz w:val="24"/>
        </w:rPr>
        <w:t>磋商文件</w:t>
      </w:r>
      <w:r>
        <w:rPr>
          <w:bCs/>
          <w:sz w:val="24"/>
        </w:rPr>
        <w:t>中规定的每一项要求，按期、按质、按量，完成服务任务。</w:t>
      </w:r>
    </w:p>
    <w:p w14:paraId="6737E690">
      <w:pPr>
        <w:tabs>
          <w:tab w:val="left" w:pos="945"/>
        </w:tabs>
        <w:spacing w:line="360" w:lineRule="auto"/>
        <w:ind w:left="480"/>
        <w:rPr>
          <w:bCs/>
          <w:sz w:val="24"/>
        </w:rPr>
      </w:pPr>
      <w:r>
        <w:rPr>
          <w:bCs/>
          <w:sz w:val="24"/>
        </w:rPr>
        <w:t>五、我们认为你们有权决定中标者。</w:t>
      </w:r>
    </w:p>
    <w:p w14:paraId="028FC42F">
      <w:pPr>
        <w:tabs>
          <w:tab w:val="left" w:pos="945"/>
        </w:tabs>
        <w:spacing w:line="360" w:lineRule="auto"/>
        <w:ind w:firstLine="480" w:firstLineChars="200"/>
        <w:rPr>
          <w:bCs/>
          <w:sz w:val="24"/>
        </w:rPr>
      </w:pPr>
      <w:r>
        <w:rPr>
          <w:bCs/>
          <w:sz w:val="24"/>
        </w:rPr>
        <w:t>六、我方愿意遵守《中华人民共和国政府采购法》，并按《中华人民共和国</w:t>
      </w:r>
      <w:r>
        <w:rPr>
          <w:rFonts w:hint="eastAsia"/>
          <w:bCs/>
          <w:sz w:val="24"/>
        </w:rPr>
        <w:t>民法典</w:t>
      </w:r>
      <w:r>
        <w:rPr>
          <w:bCs/>
          <w:sz w:val="24"/>
        </w:rPr>
        <w:t>》、财政部《政府采购货物和服务招标投标管理办法》和合同条款履行自己的全部责任。在合同履行过程中，双方如有争议，同意由</w:t>
      </w:r>
      <w:r>
        <w:rPr>
          <w:rFonts w:hint="eastAsia" w:hAnsi="宋体"/>
          <w:sz w:val="24"/>
        </w:rPr>
        <w:t>双方</w:t>
      </w:r>
      <w:r>
        <w:rPr>
          <w:bCs/>
          <w:sz w:val="24"/>
        </w:rPr>
        <w:t>协调解决，并按相关法规和有关文件规定处理。</w:t>
      </w:r>
    </w:p>
    <w:p w14:paraId="15B0D93A">
      <w:pPr>
        <w:tabs>
          <w:tab w:val="left" w:pos="945"/>
        </w:tabs>
        <w:spacing w:line="360" w:lineRule="auto"/>
        <w:ind w:firstLine="480" w:firstLineChars="200"/>
        <w:rPr>
          <w:bCs/>
          <w:sz w:val="24"/>
        </w:rPr>
      </w:pPr>
      <w:r>
        <w:rPr>
          <w:bCs/>
          <w:sz w:val="24"/>
        </w:rPr>
        <w:t>七、我们认可并遵守</w:t>
      </w:r>
      <w:r>
        <w:rPr>
          <w:rFonts w:hint="eastAsia"/>
          <w:bCs/>
          <w:sz w:val="24"/>
        </w:rPr>
        <w:t>磋商文件</w:t>
      </w:r>
      <w:r>
        <w:rPr>
          <w:bCs/>
          <w:sz w:val="24"/>
        </w:rPr>
        <w:t>的所有规定，放弃对</w:t>
      </w:r>
      <w:r>
        <w:rPr>
          <w:rFonts w:hint="eastAsia"/>
          <w:bCs/>
          <w:sz w:val="24"/>
        </w:rPr>
        <w:t>磋商文件</w:t>
      </w:r>
      <w:r>
        <w:rPr>
          <w:bCs/>
          <w:sz w:val="24"/>
        </w:rPr>
        <w:t>提出质疑的权利。</w:t>
      </w:r>
    </w:p>
    <w:p w14:paraId="443AFF37">
      <w:pPr>
        <w:tabs>
          <w:tab w:val="left" w:pos="945"/>
        </w:tabs>
        <w:spacing w:line="360" w:lineRule="auto"/>
        <w:ind w:firstLine="480" w:firstLineChars="200"/>
        <w:rPr>
          <w:rFonts w:hint="eastAsia" w:hAnsi="宋体"/>
          <w:bCs/>
          <w:color w:val="000000"/>
          <w:sz w:val="24"/>
        </w:rPr>
      </w:pPr>
      <w:r>
        <w:rPr>
          <w:bCs/>
          <w:sz w:val="24"/>
        </w:rPr>
        <w:t>八、</w:t>
      </w:r>
      <w:r>
        <w:rPr>
          <w:rFonts w:hint="eastAsia" w:hAnsi="宋体"/>
          <w:bCs/>
          <w:color w:val="000000"/>
          <w:sz w:val="24"/>
        </w:rPr>
        <w:t>如我方在投标截止期后撤回投标及中标后拒绝遵守投标承诺或拒绝在规定的时间内与采购人签订合同，则接受政府采购监督管理部门的处理。</w:t>
      </w:r>
    </w:p>
    <w:p w14:paraId="25840086">
      <w:pPr>
        <w:tabs>
          <w:tab w:val="left" w:pos="945"/>
        </w:tabs>
        <w:spacing w:line="440" w:lineRule="exact"/>
        <w:ind w:firstLine="480" w:firstLineChars="200"/>
        <w:rPr>
          <w:bCs/>
          <w:sz w:val="24"/>
        </w:rPr>
      </w:pPr>
      <w:r>
        <w:rPr>
          <w:rFonts w:hint="eastAsia"/>
          <w:bCs/>
          <w:sz w:val="24"/>
        </w:rPr>
        <w:t>九、</w:t>
      </w:r>
      <w:r>
        <w:rPr>
          <w:bCs/>
          <w:sz w:val="24"/>
        </w:rPr>
        <w:t>如果我方被确定为</w:t>
      </w:r>
      <w:r>
        <w:rPr>
          <w:rFonts w:hint="eastAsia"/>
          <w:bCs/>
          <w:sz w:val="24"/>
        </w:rPr>
        <w:t>中标</w:t>
      </w:r>
      <w:r>
        <w:rPr>
          <w:bCs/>
          <w:sz w:val="24"/>
        </w:rPr>
        <w:t>单位，我方愿意在</w:t>
      </w:r>
      <w:r>
        <w:rPr>
          <w:rFonts w:hint="eastAsia"/>
          <w:bCs/>
          <w:sz w:val="24"/>
        </w:rPr>
        <w:t>签订</w:t>
      </w:r>
      <w:r>
        <w:rPr>
          <w:bCs/>
          <w:sz w:val="24"/>
        </w:rPr>
        <w:t>合同时按</w:t>
      </w:r>
      <w:r>
        <w:rPr>
          <w:rFonts w:hint="eastAsia"/>
          <w:bCs/>
          <w:sz w:val="24"/>
        </w:rPr>
        <w:t>磋商文件</w:t>
      </w:r>
      <w:r>
        <w:rPr>
          <w:bCs/>
          <w:sz w:val="24"/>
        </w:rPr>
        <w:t>的规定交纳履约保证金。且我方如无不可抗力，又未履行</w:t>
      </w:r>
      <w:r>
        <w:rPr>
          <w:rFonts w:hint="eastAsia"/>
          <w:bCs/>
          <w:sz w:val="24"/>
        </w:rPr>
        <w:t>磋商文件</w:t>
      </w:r>
      <w:r>
        <w:rPr>
          <w:bCs/>
          <w:sz w:val="24"/>
        </w:rPr>
        <w:t>、</w:t>
      </w:r>
      <w:r>
        <w:rPr>
          <w:rFonts w:hint="eastAsia"/>
          <w:bCs/>
          <w:sz w:val="24"/>
        </w:rPr>
        <w:t>响应文件</w:t>
      </w:r>
      <w:r>
        <w:rPr>
          <w:bCs/>
          <w:sz w:val="24"/>
        </w:rPr>
        <w:t>和合同条款的，一经查实，我方愿意赔偿由此而造成的一切损失</w:t>
      </w:r>
      <w:r>
        <w:rPr>
          <w:rFonts w:hint="eastAsia"/>
          <w:bCs/>
          <w:sz w:val="24"/>
        </w:rPr>
        <w:t>和费用</w:t>
      </w:r>
      <w:r>
        <w:rPr>
          <w:bCs/>
          <w:sz w:val="24"/>
        </w:rPr>
        <w:t>，并同意接受按</w:t>
      </w:r>
      <w:r>
        <w:rPr>
          <w:rFonts w:hint="eastAsia"/>
          <w:bCs/>
          <w:sz w:val="24"/>
        </w:rPr>
        <w:t>磋商文件</w:t>
      </w:r>
      <w:r>
        <w:rPr>
          <w:bCs/>
          <w:sz w:val="24"/>
        </w:rPr>
        <w:t>的相关要求对我方进行的处理。</w:t>
      </w:r>
    </w:p>
    <w:p w14:paraId="447647C5">
      <w:pPr>
        <w:tabs>
          <w:tab w:val="left" w:pos="0"/>
          <w:tab w:val="left" w:pos="315"/>
          <w:tab w:val="left" w:pos="525"/>
          <w:tab w:val="left" w:pos="945"/>
          <w:tab w:val="left" w:pos="1050"/>
        </w:tabs>
        <w:spacing w:line="440" w:lineRule="exact"/>
        <w:ind w:firstLine="480" w:firstLineChars="200"/>
        <w:rPr>
          <w:rFonts w:hint="eastAsia" w:hAnsi="宋体"/>
          <w:bCs/>
          <w:color w:val="000000"/>
          <w:sz w:val="24"/>
        </w:rPr>
      </w:pPr>
      <w:r>
        <w:rPr>
          <w:rFonts w:hint="eastAsia" w:hAnsi="宋体"/>
          <w:bCs/>
          <w:color w:val="000000"/>
          <w:sz w:val="24"/>
        </w:rPr>
        <w:t>十、我方决不提供虚假材料谋取中标、决不采取不正当手段诋毁、排挤其他供应商、决不与采购人、其它供应商或者采购代理机构恶意串通、决不向采购人、采购代理机构工作人员和评委进行商业贿赂、决不在采购过程中与采购人进行协商谈判、决不拒绝有关部门监督检查或提供虚假情况，如有违反，无条件接受贵方及相关管理部门的处罚。</w:t>
      </w:r>
    </w:p>
    <w:p w14:paraId="070D8313">
      <w:pPr>
        <w:spacing w:line="360" w:lineRule="auto"/>
        <w:ind w:firstLine="480" w:firstLineChars="200"/>
        <w:rPr>
          <w:bCs/>
          <w:sz w:val="24"/>
        </w:rPr>
      </w:pPr>
      <w:r>
        <w:rPr>
          <w:rFonts w:hint="eastAsia"/>
          <w:bCs/>
          <w:sz w:val="24"/>
        </w:rPr>
        <w:t>报价供应商</w:t>
      </w:r>
      <w:r>
        <w:rPr>
          <w:bCs/>
          <w:sz w:val="24"/>
        </w:rPr>
        <w:t xml:space="preserve">(盖章)：     </w:t>
      </w:r>
    </w:p>
    <w:p w14:paraId="31FDFA2C">
      <w:pPr>
        <w:spacing w:line="360" w:lineRule="auto"/>
        <w:ind w:firstLine="480" w:firstLineChars="200"/>
        <w:rPr>
          <w:bCs/>
          <w:sz w:val="24"/>
        </w:rPr>
      </w:pPr>
      <w:r>
        <w:rPr>
          <w:bCs/>
          <w:sz w:val="24"/>
        </w:rPr>
        <w:t>法定代表人或法定代表人授权代表</w:t>
      </w:r>
      <w:r>
        <w:rPr>
          <w:rFonts w:hint="eastAsia"/>
          <w:bCs/>
          <w:sz w:val="24"/>
        </w:rPr>
        <w:t>（</w:t>
      </w:r>
      <w:r>
        <w:rPr>
          <w:bCs/>
          <w:sz w:val="24"/>
        </w:rPr>
        <w:t>签字或盖章</w:t>
      </w:r>
      <w:r>
        <w:rPr>
          <w:rFonts w:hint="eastAsia"/>
          <w:bCs/>
          <w:sz w:val="24"/>
        </w:rPr>
        <w:t>）</w:t>
      </w:r>
      <w:r>
        <w:rPr>
          <w:bCs/>
          <w:sz w:val="24"/>
        </w:rPr>
        <w:t>：</w:t>
      </w:r>
    </w:p>
    <w:p w14:paraId="30DA1A4C">
      <w:pPr>
        <w:spacing w:line="360" w:lineRule="auto"/>
        <w:ind w:firstLine="480" w:firstLineChars="200"/>
        <w:rPr>
          <w:bCs/>
          <w:sz w:val="24"/>
        </w:rPr>
      </w:pPr>
      <w:r>
        <w:rPr>
          <w:bCs/>
          <w:sz w:val="24"/>
        </w:rPr>
        <w:t>电话：                              传真：</w:t>
      </w:r>
    </w:p>
    <w:p w14:paraId="0FFD2C04">
      <w:pPr>
        <w:spacing w:line="360" w:lineRule="auto"/>
        <w:ind w:firstLine="480" w:firstLineChars="200"/>
        <w:outlineLvl w:val="0"/>
        <w:rPr>
          <w:rFonts w:hint="eastAsia" w:hAnsi="宋体"/>
          <w:sz w:val="24"/>
        </w:rPr>
      </w:pPr>
      <w:r>
        <w:rPr>
          <w:bCs/>
          <w:sz w:val="24"/>
        </w:rPr>
        <w:t>通讯地址：                          邮编：</w:t>
      </w:r>
    </w:p>
    <w:p w14:paraId="768EFA0D">
      <w:pPr>
        <w:rPr>
          <w:b/>
          <w:sz w:val="28"/>
          <w:szCs w:val="20"/>
        </w:rPr>
      </w:pPr>
      <w:r>
        <w:rPr>
          <w:rFonts w:hint="eastAsia"/>
          <w:b/>
          <w:sz w:val="28"/>
          <w:szCs w:val="20"/>
        </w:rPr>
        <w:br w:type="page"/>
      </w:r>
    </w:p>
    <w:p w14:paraId="470EFD68">
      <w:pPr>
        <w:pStyle w:val="12"/>
        <w:adjustRightInd w:val="0"/>
        <w:snapToGrid w:val="0"/>
        <w:spacing w:line="360" w:lineRule="auto"/>
        <w:rPr>
          <w:rFonts w:ascii="Times New Roman" w:hAnsi="Times New Roman"/>
          <w:b/>
          <w:sz w:val="28"/>
          <w:szCs w:val="20"/>
        </w:rPr>
      </w:pPr>
      <w:r>
        <w:rPr>
          <w:rFonts w:hint="eastAsia" w:ascii="Times New Roman" w:hAnsi="Times New Roman"/>
          <w:b/>
          <w:sz w:val="28"/>
          <w:szCs w:val="20"/>
        </w:rPr>
        <w:t>（二）（报价供应商）关于资格的声明函（格式）</w:t>
      </w:r>
    </w:p>
    <w:p w14:paraId="0FB56F10">
      <w:pPr>
        <w:spacing w:line="360" w:lineRule="auto"/>
        <w:rPr>
          <w:rFonts w:ascii="黑体" w:eastAsia="黑体"/>
          <w:bCs/>
          <w:sz w:val="36"/>
        </w:rPr>
      </w:pPr>
    </w:p>
    <w:p w14:paraId="63BCD916">
      <w:pPr>
        <w:jc w:val="center"/>
        <w:outlineLvl w:val="0"/>
        <w:rPr>
          <w:rFonts w:ascii="黑体" w:eastAsia="黑体"/>
          <w:bCs/>
          <w:sz w:val="28"/>
          <w:szCs w:val="28"/>
        </w:rPr>
      </w:pPr>
      <w:r>
        <w:rPr>
          <w:rFonts w:hint="eastAsia" w:ascii="黑体" w:eastAsia="黑体"/>
          <w:bCs/>
          <w:sz w:val="28"/>
          <w:szCs w:val="28"/>
        </w:rPr>
        <w:t>关于资格的声明函</w:t>
      </w:r>
    </w:p>
    <w:p w14:paraId="1AFE1B76">
      <w:pPr>
        <w:jc w:val="center"/>
        <w:rPr>
          <w:rFonts w:ascii="黑体" w:eastAsia="黑体"/>
          <w:bCs/>
          <w:sz w:val="32"/>
        </w:rPr>
      </w:pPr>
    </w:p>
    <w:p w14:paraId="35748E4B">
      <w:pPr>
        <w:widowControl/>
        <w:spacing w:line="400" w:lineRule="exact"/>
        <w:ind w:firstLine="3450" w:firstLineChars="1150"/>
        <w:rPr>
          <w:rFonts w:hint="eastAsia" w:hAnsi="宋体"/>
          <w:bCs/>
          <w:sz w:val="24"/>
        </w:rPr>
      </w:pPr>
      <w:r>
        <w:rPr>
          <w:rFonts w:hint="eastAsia" w:ascii="楷体_GB2312" w:eastAsia="楷体_GB2312"/>
          <w:bCs/>
          <w:sz w:val="30"/>
        </w:rPr>
        <w:t xml:space="preserve">  </w:t>
      </w:r>
      <w:r>
        <w:rPr>
          <w:rFonts w:hint="eastAsia" w:hAnsi="宋体"/>
          <w:bCs/>
          <w:sz w:val="24"/>
        </w:rPr>
        <w:t xml:space="preserve">      </w:t>
      </w:r>
    </w:p>
    <w:p w14:paraId="6B154873">
      <w:pPr>
        <w:spacing w:line="480" w:lineRule="auto"/>
        <w:jc w:val="center"/>
        <w:rPr>
          <w:rFonts w:hint="eastAsia" w:hAnsi="宋体"/>
          <w:bCs/>
          <w:sz w:val="24"/>
        </w:rPr>
      </w:pPr>
    </w:p>
    <w:p w14:paraId="3F50FDFC">
      <w:pPr>
        <w:spacing w:line="480" w:lineRule="auto"/>
        <w:ind w:firstLine="120" w:firstLineChars="50"/>
        <w:rPr>
          <w:rFonts w:hint="eastAsia" w:hAnsi="宋体"/>
          <w:bCs/>
          <w:sz w:val="24"/>
        </w:rPr>
      </w:pPr>
      <w:r>
        <w:rPr>
          <w:rFonts w:hint="eastAsia" w:hAnsi="宋体"/>
          <w:bCs/>
          <w:sz w:val="24"/>
        </w:rPr>
        <w:t>无锡市生态环境局：</w:t>
      </w:r>
    </w:p>
    <w:p w14:paraId="301C4653">
      <w:pPr>
        <w:spacing w:line="480" w:lineRule="auto"/>
        <w:ind w:firstLine="480" w:firstLineChars="200"/>
        <w:rPr>
          <w:rFonts w:hint="eastAsia" w:hAnsi="宋体"/>
          <w:bCs/>
          <w:sz w:val="24"/>
        </w:rPr>
      </w:pPr>
      <w:r>
        <w:rPr>
          <w:rFonts w:hint="eastAsia" w:hAnsi="宋体"/>
          <w:bCs/>
          <w:sz w:val="24"/>
        </w:rPr>
        <w:t>我公司（单位）参加政府采购活动前三年内，在经营活动中没有重大违法记录。我公司（单位）愿针对本次项目（</w:t>
      </w:r>
      <w:r>
        <w:rPr>
          <w:rFonts w:hint="eastAsia" w:eastAsia="华文新魏"/>
        </w:rPr>
        <w:t xml:space="preserve">     </w:t>
      </w:r>
      <w:r>
        <w:rPr>
          <w:rFonts w:hint="eastAsia" w:ascii="黑体" w:eastAsia="黑体"/>
          <w:bCs/>
          <w:sz w:val="24"/>
        </w:rPr>
        <w:t>）</w:t>
      </w:r>
      <w:r>
        <w:rPr>
          <w:rFonts w:hint="eastAsia" w:hAnsi="宋体"/>
          <w:bCs/>
          <w:sz w:val="24"/>
        </w:rPr>
        <w:t>进行投标，响应文件中所有关于投标资格的文件、证明、陈述均是真实的、准确的。若有违背，我公司（单位）愿意承担由此而产生的一切后果。</w:t>
      </w:r>
    </w:p>
    <w:p w14:paraId="770775CF">
      <w:pPr>
        <w:spacing w:line="480" w:lineRule="auto"/>
        <w:rPr>
          <w:rFonts w:hint="eastAsia" w:hAnsi="宋体"/>
          <w:bCs/>
          <w:sz w:val="24"/>
        </w:rPr>
      </w:pPr>
    </w:p>
    <w:p w14:paraId="54957973">
      <w:pPr>
        <w:spacing w:line="480" w:lineRule="auto"/>
        <w:rPr>
          <w:rFonts w:hint="eastAsia" w:hAnsi="宋体"/>
          <w:b/>
          <w:bCs/>
          <w:sz w:val="24"/>
        </w:rPr>
      </w:pPr>
      <w:r>
        <w:rPr>
          <w:rFonts w:hint="eastAsia" w:hAnsi="宋体"/>
          <w:bCs/>
          <w:sz w:val="24"/>
        </w:rPr>
        <w:t xml:space="preserve">                                    </w:t>
      </w:r>
      <w:r>
        <w:rPr>
          <w:rFonts w:hint="eastAsia" w:hAnsi="宋体"/>
          <w:b/>
          <w:bCs/>
          <w:sz w:val="24"/>
        </w:rPr>
        <w:t>报价供应商（盖章）：</w:t>
      </w:r>
    </w:p>
    <w:p w14:paraId="1D475482">
      <w:pPr>
        <w:spacing w:line="480" w:lineRule="auto"/>
        <w:rPr>
          <w:rFonts w:hint="eastAsia" w:hAnsi="宋体"/>
          <w:b/>
          <w:bCs/>
          <w:sz w:val="24"/>
        </w:rPr>
      </w:pPr>
      <w:r>
        <w:rPr>
          <w:rFonts w:hint="eastAsia" w:hAnsi="宋体"/>
          <w:b/>
          <w:bCs/>
          <w:sz w:val="24"/>
        </w:rPr>
        <w:t xml:space="preserve">                                    法定代表人（签字或盖章）：</w:t>
      </w:r>
    </w:p>
    <w:p w14:paraId="64F560C0">
      <w:pPr>
        <w:spacing w:line="480" w:lineRule="auto"/>
        <w:ind w:firstLine="4337" w:firstLineChars="1800"/>
        <w:rPr>
          <w:rFonts w:hint="eastAsia" w:hAnsi="宋体"/>
          <w:b/>
          <w:bCs/>
          <w:sz w:val="24"/>
        </w:rPr>
      </w:pPr>
      <w:r>
        <w:rPr>
          <w:rFonts w:hint="eastAsia" w:hAnsi="宋体"/>
          <w:b/>
          <w:bCs/>
          <w:sz w:val="24"/>
        </w:rPr>
        <w:t>日期：</w:t>
      </w:r>
    </w:p>
    <w:p w14:paraId="5857BE21">
      <w:pPr>
        <w:ind w:firstLine="480" w:firstLineChars="200"/>
        <w:outlineLvl w:val="0"/>
        <w:rPr>
          <w:rFonts w:hint="eastAsia" w:hAnsi="宋体"/>
          <w:bCs/>
          <w:sz w:val="24"/>
        </w:rPr>
      </w:pPr>
    </w:p>
    <w:p w14:paraId="7D1CA846">
      <w:pPr>
        <w:ind w:firstLine="480" w:firstLineChars="200"/>
        <w:outlineLvl w:val="0"/>
        <w:rPr>
          <w:rFonts w:hint="eastAsia" w:hAnsi="宋体"/>
          <w:bCs/>
          <w:sz w:val="24"/>
        </w:rPr>
      </w:pPr>
    </w:p>
    <w:p w14:paraId="1BDDFEA1">
      <w:pPr>
        <w:ind w:firstLine="480" w:firstLineChars="200"/>
        <w:outlineLvl w:val="0"/>
        <w:rPr>
          <w:rFonts w:hint="eastAsia" w:hAnsi="宋体"/>
          <w:bCs/>
          <w:sz w:val="24"/>
        </w:rPr>
      </w:pPr>
    </w:p>
    <w:p w14:paraId="05CEB425">
      <w:pPr>
        <w:widowControl/>
        <w:topLinePunct/>
        <w:spacing w:before="4" w:line="360" w:lineRule="auto"/>
        <w:rPr>
          <w:rFonts w:hint="eastAsia" w:hAnsi="宋体"/>
          <w:sz w:val="24"/>
        </w:rPr>
      </w:pPr>
    </w:p>
    <w:p w14:paraId="7492B47F">
      <w:pPr>
        <w:widowControl/>
        <w:topLinePunct/>
        <w:spacing w:before="4" w:line="360" w:lineRule="auto"/>
        <w:rPr>
          <w:rFonts w:hint="eastAsia" w:hAnsi="宋体"/>
          <w:sz w:val="24"/>
        </w:rPr>
      </w:pPr>
    </w:p>
    <w:p w14:paraId="730CA5C5">
      <w:pPr>
        <w:widowControl/>
        <w:topLinePunct/>
        <w:spacing w:before="4" w:line="360" w:lineRule="auto"/>
        <w:rPr>
          <w:rFonts w:hint="eastAsia" w:hAnsi="宋体"/>
          <w:sz w:val="24"/>
        </w:rPr>
      </w:pPr>
    </w:p>
    <w:p w14:paraId="6CF72F9B">
      <w:pPr>
        <w:widowControl/>
        <w:topLinePunct/>
        <w:spacing w:before="4" w:line="360" w:lineRule="auto"/>
        <w:rPr>
          <w:rFonts w:hint="eastAsia" w:hAnsi="宋体"/>
          <w:sz w:val="24"/>
        </w:rPr>
      </w:pPr>
    </w:p>
    <w:p w14:paraId="46B7EF3E">
      <w:pPr>
        <w:widowControl/>
        <w:topLinePunct/>
        <w:spacing w:before="4" w:line="360" w:lineRule="auto"/>
        <w:rPr>
          <w:rFonts w:hint="eastAsia" w:hAnsi="宋体"/>
          <w:sz w:val="24"/>
        </w:rPr>
      </w:pPr>
    </w:p>
    <w:p w14:paraId="63D31284">
      <w:pPr>
        <w:widowControl/>
        <w:topLinePunct/>
        <w:spacing w:before="4" w:line="360" w:lineRule="auto"/>
        <w:rPr>
          <w:rFonts w:hint="eastAsia" w:hAnsi="宋体"/>
          <w:sz w:val="24"/>
        </w:rPr>
      </w:pPr>
    </w:p>
    <w:p w14:paraId="264329C5">
      <w:pPr>
        <w:widowControl/>
        <w:topLinePunct/>
        <w:spacing w:before="4" w:line="360" w:lineRule="auto"/>
        <w:rPr>
          <w:rFonts w:hint="eastAsia" w:hAnsi="宋体"/>
          <w:sz w:val="24"/>
        </w:rPr>
      </w:pPr>
    </w:p>
    <w:p w14:paraId="5AAC8930">
      <w:pPr>
        <w:widowControl/>
        <w:topLinePunct/>
        <w:spacing w:before="4" w:line="360" w:lineRule="auto"/>
        <w:rPr>
          <w:rFonts w:hint="eastAsia" w:hAnsi="宋体"/>
          <w:sz w:val="24"/>
        </w:rPr>
      </w:pPr>
    </w:p>
    <w:p w14:paraId="7C1F9E49">
      <w:pPr>
        <w:pStyle w:val="12"/>
        <w:adjustRightInd w:val="0"/>
        <w:snapToGrid w:val="0"/>
        <w:spacing w:line="360" w:lineRule="auto"/>
        <w:rPr>
          <w:rFonts w:ascii="Times New Roman" w:hAnsi="Times New Roman"/>
          <w:b/>
          <w:sz w:val="28"/>
          <w:szCs w:val="20"/>
        </w:rPr>
      </w:pPr>
      <w:r>
        <w:rPr>
          <w:rFonts w:hint="eastAsia" w:ascii="Times New Roman" w:hAnsi="Times New Roman"/>
          <w:b/>
          <w:sz w:val="28"/>
          <w:szCs w:val="20"/>
        </w:rPr>
        <w:t>（三）（报价供应商）法定代表人授权委托书（格式）</w:t>
      </w:r>
    </w:p>
    <w:p w14:paraId="4F7AAFD0">
      <w:pPr>
        <w:outlineLvl w:val="0"/>
        <w:rPr>
          <w:rFonts w:ascii="黑体" w:eastAsia="黑体"/>
          <w:bCs/>
          <w:sz w:val="28"/>
          <w:szCs w:val="28"/>
        </w:rPr>
      </w:pPr>
    </w:p>
    <w:p w14:paraId="1635842F">
      <w:pPr>
        <w:spacing w:line="360" w:lineRule="auto"/>
        <w:jc w:val="center"/>
        <w:outlineLvl w:val="0"/>
        <w:rPr>
          <w:rFonts w:eastAsia="黑体"/>
          <w:bCs/>
          <w:sz w:val="28"/>
          <w:szCs w:val="28"/>
        </w:rPr>
      </w:pPr>
      <w:r>
        <w:rPr>
          <w:rFonts w:eastAsia="黑体"/>
          <w:bCs/>
          <w:sz w:val="28"/>
          <w:szCs w:val="28"/>
        </w:rPr>
        <w:t>法定代表人授权委托书</w:t>
      </w:r>
    </w:p>
    <w:p w14:paraId="4384DF62">
      <w:pPr>
        <w:spacing w:line="360" w:lineRule="auto"/>
        <w:jc w:val="center"/>
        <w:outlineLvl w:val="0"/>
        <w:rPr>
          <w:rFonts w:hint="eastAsia" w:hAnsi="宋体"/>
          <w:bCs/>
          <w:sz w:val="28"/>
          <w:szCs w:val="28"/>
        </w:rPr>
      </w:pPr>
    </w:p>
    <w:p w14:paraId="485426C4">
      <w:pPr>
        <w:spacing w:line="360" w:lineRule="auto"/>
        <w:rPr>
          <w:rFonts w:hint="eastAsia" w:hAnsi="宋体"/>
          <w:bCs/>
          <w:sz w:val="24"/>
        </w:rPr>
      </w:pPr>
      <w:r>
        <w:rPr>
          <w:rFonts w:hAnsi="宋体"/>
          <w:bCs/>
          <w:sz w:val="30"/>
        </w:rPr>
        <w:t xml:space="preserve">                     </w:t>
      </w:r>
      <w:r>
        <w:rPr>
          <w:rFonts w:hint="eastAsia" w:hAnsi="宋体"/>
          <w:bCs/>
          <w:sz w:val="30"/>
        </w:rPr>
        <w:t xml:space="preserve">         </w:t>
      </w:r>
      <w:r>
        <w:rPr>
          <w:rFonts w:hAnsi="宋体"/>
          <w:bCs/>
          <w:sz w:val="30"/>
        </w:rPr>
        <w:t xml:space="preserve">        </w:t>
      </w:r>
      <w:r>
        <w:rPr>
          <w:rFonts w:hint="eastAsia" w:hAnsi="宋体"/>
          <w:bCs/>
          <w:sz w:val="24"/>
        </w:rPr>
        <w:t>项目</w:t>
      </w:r>
      <w:r>
        <w:rPr>
          <w:rFonts w:hAnsi="宋体"/>
          <w:bCs/>
          <w:sz w:val="24"/>
        </w:rPr>
        <w:t>编号：</w:t>
      </w:r>
    </w:p>
    <w:p w14:paraId="72CAE197">
      <w:pPr>
        <w:spacing w:line="360" w:lineRule="auto"/>
        <w:rPr>
          <w:rFonts w:hint="eastAsia" w:hAnsi="宋体"/>
          <w:bCs/>
          <w:sz w:val="24"/>
        </w:rPr>
      </w:pPr>
      <w:r>
        <w:rPr>
          <w:rFonts w:hAnsi="宋体"/>
          <w:bCs/>
          <w:sz w:val="24"/>
        </w:rPr>
        <w:t xml:space="preserve">                                                日期：</w:t>
      </w:r>
    </w:p>
    <w:p w14:paraId="1A724EA2">
      <w:pPr>
        <w:spacing w:line="360" w:lineRule="auto"/>
        <w:rPr>
          <w:rFonts w:hint="eastAsia" w:hAnsi="宋体"/>
          <w:bCs/>
          <w:sz w:val="24"/>
        </w:rPr>
      </w:pPr>
    </w:p>
    <w:p w14:paraId="79146656">
      <w:pPr>
        <w:spacing w:line="360" w:lineRule="auto"/>
        <w:rPr>
          <w:rFonts w:hint="eastAsia" w:hAnsi="宋体"/>
          <w:bCs/>
          <w:sz w:val="24"/>
          <w:u w:val="single"/>
        </w:rPr>
      </w:pPr>
      <w:r>
        <w:rPr>
          <w:rFonts w:hAnsi="宋体"/>
          <w:bCs/>
          <w:sz w:val="24"/>
          <w:u w:val="single"/>
        </w:rPr>
        <w:t>致：</w:t>
      </w:r>
      <w:r>
        <w:rPr>
          <w:rFonts w:hint="eastAsia" w:hAnsi="宋体"/>
          <w:bCs/>
          <w:sz w:val="24"/>
          <w:u w:val="single"/>
        </w:rPr>
        <w:t>无锡市生态环境局</w:t>
      </w:r>
    </w:p>
    <w:p w14:paraId="1356E540">
      <w:pPr>
        <w:spacing w:line="360" w:lineRule="auto"/>
        <w:rPr>
          <w:rFonts w:hint="eastAsia" w:hAnsi="宋体"/>
          <w:bCs/>
          <w:sz w:val="24"/>
        </w:rPr>
      </w:pPr>
      <w:r>
        <w:rPr>
          <w:rFonts w:hAnsi="宋体"/>
          <w:bCs/>
          <w:sz w:val="24"/>
        </w:rPr>
        <w:t xml:space="preserve">        </w:t>
      </w:r>
      <w:r>
        <w:rPr>
          <w:rFonts w:hAnsi="宋体"/>
          <w:bCs/>
          <w:sz w:val="24"/>
          <w:u w:val="single"/>
        </w:rPr>
        <w:t xml:space="preserve">                 </w:t>
      </w:r>
      <w:r>
        <w:rPr>
          <w:rFonts w:hAnsi="宋体"/>
          <w:bCs/>
          <w:sz w:val="24"/>
        </w:rPr>
        <w:t xml:space="preserve"> 系中华人民共和国合法企业，特授权</w:t>
      </w:r>
      <w:r>
        <w:rPr>
          <w:rFonts w:hAnsi="宋体"/>
          <w:bCs/>
          <w:sz w:val="24"/>
          <w:u w:val="single"/>
        </w:rPr>
        <w:t xml:space="preserve">       </w:t>
      </w:r>
      <w:r>
        <w:rPr>
          <w:rFonts w:hAnsi="宋体"/>
          <w:bCs/>
          <w:sz w:val="24"/>
        </w:rPr>
        <w:t>代表我公司(单位)全权办理针对本项目的投标、参与开标、评标、签约等具体工作，并签署全部有关的文件、协议及合同。</w:t>
      </w:r>
    </w:p>
    <w:p w14:paraId="491432BA">
      <w:pPr>
        <w:spacing w:line="360" w:lineRule="auto"/>
        <w:ind w:firstLine="480" w:firstLineChars="200"/>
        <w:rPr>
          <w:rFonts w:hint="eastAsia" w:hAnsi="宋体"/>
          <w:bCs/>
          <w:sz w:val="24"/>
        </w:rPr>
      </w:pPr>
      <w:r>
        <w:rPr>
          <w:rFonts w:hAnsi="宋体"/>
          <w:bCs/>
          <w:sz w:val="24"/>
        </w:rPr>
        <w:t>我公司(单位)对被授权人的签名负全部责任。</w:t>
      </w:r>
    </w:p>
    <w:p w14:paraId="261AB4BF">
      <w:pPr>
        <w:spacing w:line="360" w:lineRule="auto"/>
        <w:ind w:firstLine="480" w:firstLineChars="200"/>
        <w:rPr>
          <w:rFonts w:hint="eastAsia" w:hAnsi="宋体"/>
          <w:bCs/>
          <w:sz w:val="24"/>
        </w:rPr>
      </w:pPr>
      <w:r>
        <w:rPr>
          <w:rFonts w:hAnsi="宋体"/>
          <w:bCs/>
          <w:sz w:val="24"/>
        </w:rPr>
        <w:t>在撤销授权的书面通知送达你处以前，本授权书一直有效，被授权人签署的所有文件(在授权书有效期内签署的)不因授权的撤销而失效。</w:t>
      </w:r>
    </w:p>
    <w:p w14:paraId="143DD3D5">
      <w:pPr>
        <w:spacing w:line="360" w:lineRule="auto"/>
        <w:ind w:firstLine="480" w:firstLineChars="200"/>
        <w:rPr>
          <w:rFonts w:hint="eastAsia" w:hAnsi="宋体"/>
          <w:bCs/>
          <w:sz w:val="24"/>
        </w:rPr>
      </w:pPr>
      <w:r>
        <w:rPr>
          <w:rFonts w:hAnsi="宋体"/>
          <w:bCs/>
          <w:sz w:val="24"/>
        </w:rPr>
        <w:t>被授权人情况：</w:t>
      </w:r>
    </w:p>
    <w:p w14:paraId="44C9BA8A">
      <w:pPr>
        <w:spacing w:line="360" w:lineRule="auto"/>
        <w:ind w:firstLine="480" w:firstLineChars="200"/>
        <w:rPr>
          <w:rFonts w:hint="eastAsia" w:hAnsi="宋体"/>
          <w:bCs/>
          <w:sz w:val="24"/>
        </w:rPr>
      </w:pPr>
      <w:r>
        <w:rPr>
          <w:rFonts w:hAnsi="宋体"/>
          <w:bCs/>
          <w:sz w:val="24"/>
        </w:rPr>
        <w:t xml:space="preserve">姓名：         性别：  </w:t>
      </w:r>
    </w:p>
    <w:p w14:paraId="37746788">
      <w:pPr>
        <w:spacing w:line="360" w:lineRule="auto"/>
        <w:ind w:firstLine="480" w:firstLineChars="200"/>
        <w:rPr>
          <w:rFonts w:hint="eastAsia" w:hAnsi="宋体"/>
          <w:bCs/>
          <w:sz w:val="24"/>
        </w:rPr>
      </w:pPr>
      <w:r>
        <w:rPr>
          <w:rFonts w:hAnsi="宋体"/>
          <w:bCs/>
          <w:sz w:val="24"/>
        </w:rPr>
        <w:t>身份证件号码：                电话：</w:t>
      </w:r>
    </w:p>
    <w:p w14:paraId="45A1C806">
      <w:pPr>
        <w:spacing w:line="360" w:lineRule="auto"/>
        <w:ind w:firstLine="480" w:firstLineChars="200"/>
        <w:rPr>
          <w:rFonts w:hint="eastAsia" w:hAnsi="宋体"/>
          <w:bCs/>
          <w:sz w:val="24"/>
        </w:rPr>
      </w:pPr>
      <w:r>
        <w:rPr>
          <w:rFonts w:hAnsi="宋体"/>
          <w:bCs/>
          <w:sz w:val="24"/>
        </w:rPr>
        <w:t xml:space="preserve">被授权人(签字或盖章)：        </w:t>
      </w:r>
    </w:p>
    <w:p w14:paraId="2F5E9B6C">
      <w:pPr>
        <w:spacing w:line="360" w:lineRule="auto"/>
        <w:ind w:firstLine="480" w:firstLineChars="200"/>
        <w:rPr>
          <w:rFonts w:hint="eastAsia" w:hAnsi="宋体"/>
          <w:bCs/>
          <w:sz w:val="24"/>
        </w:rPr>
      </w:pPr>
      <w:r>
        <w:rPr>
          <w:rFonts w:hAnsi="宋体"/>
          <w:bCs/>
          <w:sz w:val="24"/>
        </w:rPr>
        <w:t>单位名称(盖章)：</w:t>
      </w:r>
    </w:p>
    <w:p w14:paraId="3AB4A4E3">
      <w:pPr>
        <w:spacing w:line="360" w:lineRule="auto"/>
        <w:ind w:firstLine="480" w:firstLineChars="200"/>
        <w:rPr>
          <w:rFonts w:hint="eastAsia" w:hAnsi="宋体"/>
          <w:bCs/>
          <w:sz w:val="24"/>
        </w:rPr>
      </w:pPr>
      <w:r>
        <w:rPr>
          <w:rFonts w:hAnsi="宋体"/>
          <w:bCs/>
          <w:sz w:val="24"/>
        </w:rPr>
        <w:t>法定代表人(签字或盖章)：</w:t>
      </w:r>
    </w:p>
    <w:p w14:paraId="2CD1B499">
      <w:pPr>
        <w:spacing w:line="360" w:lineRule="auto"/>
        <w:ind w:firstLine="480" w:firstLineChars="200"/>
        <w:rPr>
          <w:rFonts w:hint="eastAsia" w:hAnsi="宋体"/>
          <w:bCs/>
          <w:sz w:val="24"/>
        </w:rPr>
      </w:pPr>
      <w:r>
        <w:rPr>
          <w:rFonts w:hint="eastAsia" w:hAnsi="宋体"/>
          <w:bCs/>
          <w:sz w:val="24"/>
        </w:rPr>
        <w:t>日期：</w:t>
      </w:r>
    </w:p>
    <w:p w14:paraId="277F5C06">
      <w:pPr>
        <w:ind w:firstLine="480" w:firstLineChars="200"/>
        <w:outlineLvl w:val="0"/>
        <w:rPr>
          <w:rFonts w:hint="eastAsia" w:hAnsi="宋体"/>
          <w:bCs/>
          <w:sz w:val="24"/>
        </w:rPr>
      </w:pPr>
    </w:p>
    <w:p w14:paraId="1690CFD4">
      <w:pPr>
        <w:ind w:firstLine="480" w:firstLineChars="200"/>
        <w:outlineLvl w:val="0"/>
        <w:rPr>
          <w:rFonts w:hint="eastAsia" w:hAnsi="宋体"/>
          <w:bCs/>
          <w:sz w:val="24"/>
        </w:rPr>
      </w:pPr>
    </w:p>
    <w:p w14:paraId="7B86E1E1">
      <w:pPr>
        <w:jc w:val="center"/>
        <w:rPr>
          <w:rFonts w:ascii="黑体" w:eastAsia="黑体"/>
          <w:sz w:val="32"/>
        </w:rPr>
      </w:pPr>
    </w:p>
    <w:p w14:paraId="1C6D2BC0">
      <w:pPr>
        <w:spacing w:line="360" w:lineRule="auto"/>
        <w:ind w:firstLine="480" w:firstLineChars="200"/>
        <w:rPr>
          <w:rFonts w:hint="eastAsia" w:hAnsi="宋体"/>
          <w:bCs/>
          <w:sz w:val="24"/>
        </w:rPr>
      </w:pPr>
      <w:r>
        <w:rPr>
          <w:rFonts w:hint="eastAsia" w:hAnsi="宋体"/>
          <w:bCs/>
          <w:sz w:val="24"/>
        </w:rPr>
        <w:t>附法人和授权委托人身份证复印件（正反面）</w:t>
      </w:r>
    </w:p>
    <w:p w14:paraId="5C77E8ED">
      <w:pPr>
        <w:jc w:val="center"/>
        <w:rPr>
          <w:rFonts w:ascii="黑体" w:eastAsia="黑体"/>
          <w:sz w:val="32"/>
          <w:szCs w:val="32"/>
        </w:rPr>
      </w:pPr>
    </w:p>
    <w:p w14:paraId="438D439B">
      <w:pPr>
        <w:jc w:val="center"/>
        <w:rPr>
          <w:rFonts w:ascii="黑体" w:eastAsia="黑体"/>
          <w:sz w:val="32"/>
        </w:rPr>
      </w:pPr>
    </w:p>
    <w:p w14:paraId="2CA9D273">
      <w:pPr>
        <w:jc w:val="center"/>
        <w:rPr>
          <w:rFonts w:ascii="黑体" w:eastAsia="黑体"/>
          <w:sz w:val="32"/>
          <w:szCs w:val="32"/>
        </w:rPr>
      </w:pPr>
    </w:p>
    <w:p w14:paraId="470DE022">
      <w:pPr>
        <w:pStyle w:val="12"/>
        <w:adjustRightInd w:val="0"/>
        <w:snapToGrid w:val="0"/>
        <w:spacing w:line="360" w:lineRule="auto"/>
        <w:rPr>
          <w:rFonts w:ascii="Times New Roman" w:hAnsi="Times New Roman"/>
          <w:sz w:val="28"/>
          <w:szCs w:val="20"/>
        </w:rPr>
      </w:pPr>
      <w:r>
        <w:rPr>
          <w:rFonts w:hint="eastAsia" w:ascii="Times New Roman" w:hAnsi="Times New Roman"/>
          <w:b/>
          <w:sz w:val="28"/>
          <w:szCs w:val="20"/>
        </w:rPr>
        <w:t>（四）承诺书（格式）</w:t>
      </w:r>
    </w:p>
    <w:p w14:paraId="043B562F">
      <w:pPr>
        <w:jc w:val="center"/>
        <w:rPr>
          <w:rFonts w:ascii="黑体" w:eastAsia="黑体"/>
          <w:bCs/>
          <w:color w:val="0D0D0D"/>
          <w:sz w:val="28"/>
          <w:szCs w:val="28"/>
        </w:rPr>
      </w:pPr>
      <w:r>
        <w:rPr>
          <w:rFonts w:hint="eastAsia" w:ascii="黑体" w:eastAsia="黑体"/>
          <w:bCs/>
          <w:color w:val="0D0D0D"/>
          <w:sz w:val="28"/>
          <w:szCs w:val="28"/>
        </w:rPr>
        <w:t>承诺书</w:t>
      </w:r>
    </w:p>
    <w:p w14:paraId="38694353">
      <w:pPr>
        <w:jc w:val="center"/>
        <w:rPr>
          <w:rFonts w:ascii="黑体" w:eastAsia="黑体"/>
          <w:bCs/>
          <w:color w:val="0D0D0D"/>
          <w:sz w:val="28"/>
          <w:szCs w:val="28"/>
        </w:rPr>
      </w:pPr>
    </w:p>
    <w:p w14:paraId="1D22DB2C">
      <w:pPr>
        <w:spacing w:line="360" w:lineRule="auto"/>
        <w:ind w:firstLine="480" w:firstLineChars="200"/>
        <w:rPr>
          <w:rFonts w:hint="eastAsia" w:hAnsi="宋体"/>
          <w:bCs/>
          <w:sz w:val="24"/>
        </w:rPr>
      </w:pPr>
      <w:r>
        <w:rPr>
          <w:rFonts w:hint="eastAsia" w:hAnsi="宋体"/>
          <w:bCs/>
          <w:sz w:val="24"/>
        </w:rPr>
        <w:t xml:space="preserve">                             （报价供应商名称）在此承诺：</w:t>
      </w:r>
    </w:p>
    <w:p w14:paraId="5A5DCD35">
      <w:pPr>
        <w:spacing w:line="360" w:lineRule="auto"/>
        <w:ind w:firstLine="480" w:firstLineChars="200"/>
        <w:rPr>
          <w:rFonts w:hint="eastAsia" w:hAnsi="宋体"/>
          <w:bCs/>
          <w:sz w:val="24"/>
        </w:rPr>
      </w:pPr>
    </w:p>
    <w:p w14:paraId="6E6181B4">
      <w:pPr>
        <w:spacing w:line="360" w:lineRule="auto"/>
        <w:ind w:firstLine="480" w:firstLineChars="200"/>
        <w:rPr>
          <w:rFonts w:hint="eastAsia" w:hAnsi="宋体"/>
          <w:bCs/>
          <w:sz w:val="24"/>
        </w:rPr>
      </w:pPr>
      <w:r>
        <w:rPr>
          <w:rFonts w:hint="eastAsia" w:hAnsi="宋体"/>
          <w:bCs/>
          <w:sz w:val="24"/>
        </w:rPr>
        <w:t>1、本公司对本项目所提供的货物和服务均满足磋商文件要求。</w:t>
      </w:r>
    </w:p>
    <w:p w14:paraId="4780D650">
      <w:pPr>
        <w:spacing w:line="360" w:lineRule="auto"/>
        <w:ind w:firstLine="480" w:firstLineChars="200"/>
        <w:rPr>
          <w:rFonts w:hint="eastAsia" w:hAnsi="宋体"/>
          <w:bCs/>
          <w:sz w:val="24"/>
        </w:rPr>
      </w:pPr>
      <w:r>
        <w:rPr>
          <w:rFonts w:hint="eastAsia" w:hAnsi="宋体"/>
          <w:bCs/>
          <w:sz w:val="24"/>
        </w:rPr>
        <w:t>2、本公司（单位）具备履行合同所必需的设备和专业技术能力。</w:t>
      </w:r>
    </w:p>
    <w:p w14:paraId="74771E99">
      <w:pPr>
        <w:spacing w:line="360" w:lineRule="auto"/>
        <w:ind w:firstLine="480" w:firstLineChars="200"/>
        <w:rPr>
          <w:rFonts w:hint="eastAsia" w:hAnsi="宋体"/>
          <w:bCs/>
          <w:sz w:val="24"/>
        </w:rPr>
      </w:pPr>
      <w:r>
        <w:rPr>
          <w:rFonts w:hint="eastAsia" w:hAnsi="宋体"/>
          <w:bCs/>
          <w:sz w:val="24"/>
        </w:rPr>
        <w:t>3、本公司未被“信用中国”网站（</w:t>
      </w:r>
      <w:r>
        <w:fldChar w:fldCharType="begin"/>
      </w:r>
      <w:r>
        <w:instrText xml:space="preserve"> HYPERLINK "http://www.creditchina.gov.cn" </w:instrText>
      </w:r>
      <w:r>
        <w:fldChar w:fldCharType="separate"/>
      </w:r>
      <w:r>
        <w:rPr>
          <w:rFonts w:hint="eastAsia" w:hAnsi="宋体"/>
          <w:bCs/>
          <w:sz w:val="24"/>
        </w:rPr>
        <w:t>www.creditchina.gov.cn</w:t>
      </w:r>
      <w:r>
        <w:rPr>
          <w:rFonts w:hint="eastAsia" w:hAnsi="宋体"/>
          <w:bCs/>
          <w:sz w:val="24"/>
        </w:rPr>
        <w:fldChar w:fldCharType="end"/>
      </w:r>
      <w:r>
        <w:rPr>
          <w:rFonts w:hint="eastAsia" w:hAnsi="宋体"/>
          <w:bCs/>
          <w:sz w:val="24"/>
        </w:rPr>
        <w:t>）列入失信执行人、重大税收违法案件当事人名单、政府采购严重违法失信行为记录名单。</w:t>
      </w:r>
    </w:p>
    <w:p w14:paraId="26A8F5EB">
      <w:pPr>
        <w:spacing w:line="360" w:lineRule="auto"/>
        <w:ind w:firstLine="480" w:firstLineChars="200"/>
        <w:rPr>
          <w:rFonts w:hint="eastAsia" w:hAnsi="宋体"/>
          <w:bCs/>
          <w:sz w:val="24"/>
        </w:rPr>
      </w:pPr>
      <w:r>
        <w:rPr>
          <w:rFonts w:hint="eastAsia" w:hAnsi="宋体"/>
          <w:bCs/>
          <w:sz w:val="24"/>
        </w:rPr>
        <w:t>4、我公司中标后将严格按照《江苏省生态环境监测条例》开展服务工作。</w:t>
      </w:r>
    </w:p>
    <w:p w14:paraId="7B755A11">
      <w:pPr>
        <w:spacing w:line="360" w:lineRule="auto"/>
        <w:ind w:firstLine="480" w:firstLineChars="200"/>
        <w:rPr>
          <w:rFonts w:hint="eastAsia" w:hAnsi="宋体"/>
          <w:bCs/>
          <w:sz w:val="24"/>
        </w:rPr>
      </w:pPr>
      <w:r>
        <w:rPr>
          <w:rFonts w:hint="eastAsia" w:hAnsi="宋体"/>
          <w:bCs/>
          <w:sz w:val="24"/>
        </w:rPr>
        <w:t>如所供之货物不符合前述承诺，本公司将承担一切法律责任。</w:t>
      </w:r>
    </w:p>
    <w:p w14:paraId="54CFBFE1">
      <w:pPr>
        <w:spacing w:line="360" w:lineRule="auto"/>
        <w:ind w:firstLine="480" w:firstLineChars="200"/>
        <w:rPr>
          <w:rFonts w:hint="eastAsia" w:hAnsi="宋体"/>
          <w:bCs/>
          <w:sz w:val="24"/>
        </w:rPr>
      </w:pPr>
    </w:p>
    <w:p w14:paraId="2CDFA15A">
      <w:pPr>
        <w:spacing w:line="360" w:lineRule="auto"/>
        <w:ind w:firstLine="480" w:firstLineChars="200"/>
        <w:rPr>
          <w:rFonts w:hint="eastAsia" w:hAnsi="宋体"/>
          <w:bCs/>
          <w:sz w:val="24"/>
        </w:rPr>
      </w:pPr>
    </w:p>
    <w:p w14:paraId="61C79A24">
      <w:pPr>
        <w:spacing w:before="5" w:line="360" w:lineRule="auto"/>
        <w:ind w:firstLine="241" w:firstLineChars="100"/>
        <w:rPr>
          <w:b/>
          <w:bCs/>
          <w:sz w:val="24"/>
        </w:rPr>
      </w:pPr>
      <w:r>
        <w:rPr>
          <w:b/>
          <w:bCs/>
          <w:sz w:val="24"/>
        </w:rPr>
        <w:t>法定代表人或法定代表人授权代表签字或盖章：</w:t>
      </w:r>
    </w:p>
    <w:p w14:paraId="0E88816B">
      <w:pPr>
        <w:spacing w:before="5" w:line="360" w:lineRule="auto"/>
        <w:ind w:firstLine="241" w:firstLineChars="100"/>
        <w:rPr>
          <w:b/>
          <w:bCs/>
          <w:sz w:val="24"/>
        </w:rPr>
      </w:pPr>
      <w:r>
        <w:rPr>
          <w:rFonts w:hint="eastAsia"/>
          <w:b/>
          <w:bCs/>
          <w:sz w:val="24"/>
        </w:rPr>
        <w:t>报价供应商（盖章）：</w:t>
      </w:r>
    </w:p>
    <w:p w14:paraId="3D625967">
      <w:pPr>
        <w:spacing w:before="5" w:line="360" w:lineRule="auto"/>
        <w:ind w:firstLine="241" w:firstLineChars="100"/>
        <w:rPr>
          <w:b/>
          <w:bCs/>
          <w:sz w:val="24"/>
        </w:rPr>
      </w:pPr>
      <w:r>
        <w:rPr>
          <w:rFonts w:hint="eastAsia"/>
          <w:b/>
          <w:bCs/>
          <w:sz w:val="24"/>
        </w:rPr>
        <w:t>日期：</w:t>
      </w:r>
    </w:p>
    <w:p w14:paraId="32DCD7AD">
      <w:pPr>
        <w:jc w:val="center"/>
      </w:pPr>
    </w:p>
    <w:p w14:paraId="056BD557">
      <w:pPr>
        <w:jc w:val="center"/>
      </w:pPr>
    </w:p>
    <w:p w14:paraId="3FBCC968">
      <w:pPr>
        <w:jc w:val="center"/>
      </w:pPr>
    </w:p>
    <w:p w14:paraId="75094FC5">
      <w:pPr>
        <w:rPr>
          <w:rFonts w:eastAsia="黑体"/>
          <w:bCs/>
          <w:sz w:val="24"/>
        </w:rPr>
      </w:pPr>
    </w:p>
    <w:p w14:paraId="1FA45D6B">
      <w:pPr>
        <w:pStyle w:val="30"/>
        <w:ind w:firstLine="480"/>
        <w:rPr>
          <w:rFonts w:eastAsia="黑体"/>
          <w:bCs/>
          <w:sz w:val="24"/>
          <w:szCs w:val="24"/>
        </w:rPr>
      </w:pPr>
    </w:p>
    <w:p w14:paraId="3EB85EF5">
      <w:pPr>
        <w:rPr>
          <w:rFonts w:eastAsia="黑体"/>
          <w:bCs/>
          <w:sz w:val="24"/>
        </w:rPr>
      </w:pPr>
    </w:p>
    <w:p w14:paraId="54D9AE43">
      <w:pPr>
        <w:widowControl/>
        <w:jc w:val="left"/>
        <w:rPr>
          <w:rFonts w:eastAsia="黑体"/>
          <w:bCs/>
          <w:sz w:val="24"/>
        </w:rPr>
      </w:pPr>
      <w:r>
        <w:rPr>
          <w:rFonts w:eastAsia="黑体"/>
          <w:bCs/>
          <w:sz w:val="24"/>
        </w:rPr>
        <w:br w:type="page"/>
      </w:r>
    </w:p>
    <w:p w14:paraId="76A4BB08">
      <w:pPr>
        <w:pStyle w:val="4"/>
      </w:pPr>
      <w:r>
        <w:rPr>
          <w:rFonts w:ascii="Times New Roman" w:hAnsi="Times New Roman"/>
          <w:szCs w:val="20"/>
        </w:rPr>
        <w:t>(</w:t>
      </w:r>
      <w:r>
        <w:rPr>
          <w:rFonts w:hint="eastAsia" w:ascii="Times New Roman" w:hAnsi="Times New Roman"/>
          <w:szCs w:val="20"/>
        </w:rPr>
        <w:t>五</w:t>
      </w:r>
      <w:r>
        <w:rPr>
          <w:rFonts w:ascii="Times New Roman" w:hAnsi="Times New Roman"/>
          <w:szCs w:val="20"/>
        </w:rPr>
        <w:t>)</w:t>
      </w:r>
      <w:r>
        <w:t>报价一览表（格式）：</w:t>
      </w:r>
    </w:p>
    <w:p w14:paraId="575BA2F5">
      <w:pPr>
        <w:pStyle w:val="40"/>
        <w:ind w:firstLine="560"/>
        <w:rPr>
          <w:rFonts w:ascii="Times New Roman" w:hAnsi="Times New Roman"/>
          <w:bCs/>
          <w:color w:val="auto"/>
          <w:sz w:val="28"/>
          <w:szCs w:val="28"/>
        </w:rPr>
      </w:pPr>
    </w:p>
    <w:p w14:paraId="1787DF47">
      <w:pPr>
        <w:widowControl/>
        <w:spacing w:before="224" w:after="224"/>
        <w:jc w:val="center"/>
        <w:rPr>
          <w:rFonts w:eastAsia="黑体"/>
          <w:bCs/>
          <w:kern w:val="0"/>
          <w:sz w:val="28"/>
          <w:szCs w:val="28"/>
        </w:rPr>
      </w:pPr>
      <w:r>
        <w:rPr>
          <w:rFonts w:eastAsia="黑体"/>
          <w:bCs/>
          <w:kern w:val="0"/>
          <w:sz w:val="28"/>
          <w:szCs w:val="28"/>
        </w:rPr>
        <w:t>报价一览表</w:t>
      </w:r>
    </w:p>
    <w:p w14:paraId="5250A72C"/>
    <w:p w14:paraId="773AF2C6">
      <w:pPr>
        <w:rPr>
          <w:rFonts w:eastAsia="黑体"/>
          <w:bCs/>
        </w:rPr>
      </w:pPr>
      <w:r>
        <w:rPr>
          <w:rFonts w:eastAsia="黑体"/>
          <w:bCs/>
        </w:rPr>
        <w:t>供应商名称（盖章）</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14:paraId="1783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5" w:type="dxa"/>
            <w:vAlign w:val="center"/>
          </w:tcPr>
          <w:p w14:paraId="6AD48E6D">
            <w:pPr>
              <w:autoSpaceDE w:val="0"/>
              <w:autoSpaceDN w:val="0"/>
              <w:adjustRightInd w:val="0"/>
              <w:jc w:val="center"/>
              <w:rPr>
                <w:b/>
                <w:bCs/>
              </w:rPr>
            </w:pPr>
            <w:r>
              <w:rPr>
                <w:b/>
                <w:bCs/>
              </w:rPr>
              <w:t>项目名称</w:t>
            </w:r>
          </w:p>
        </w:tc>
        <w:tc>
          <w:tcPr>
            <w:tcW w:w="4515" w:type="dxa"/>
            <w:vAlign w:val="center"/>
          </w:tcPr>
          <w:p w14:paraId="7689D5FD">
            <w:pPr>
              <w:autoSpaceDE w:val="0"/>
              <w:autoSpaceDN w:val="0"/>
              <w:adjustRightInd w:val="0"/>
              <w:jc w:val="center"/>
              <w:rPr>
                <w:b/>
                <w:bCs/>
              </w:rPr>
            </w:pPr>
            <w:r>
              <w:rPr>
                <w:b/>
                <w:bCs/>
              </w:rPr>
              <w:t>总报价(小写)</w:t>
            </w:r>
          </w:p>
        </w:tc>
      </w:tr>
      <w:tr w14:paraId="06CC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5565" w:type="dxa"/>
            <w:vAlign w:val="center"/>
          </w:tcPr>
          <w:p w14:paraId="768A913C">
            <w:pPr>
              <w:pStyle w:val="61"/>
              <w:spacing w:line="400" w:lineRule="exact"/>
              <w:jc w:val="center"/>
              <w:rPr>
                <w:rFonts w:ascii="Times New Roman"/>
                <w:bCs/>
                <w:sz w:val="28"/>
                <w:szCs w:val="28"/>
              </w:rPr>
            </w:pPr>
          </w:p>
        </w:tc>
        <w:tc>
          <w:tcPr>
            <w:tcW w:w="4515" w:type="dxa"/>
            <w:vAlign w:val="center"/>
          </w:tcPr>
          <w:p w14:paraId="0CB60615">
            <w:pPr>
              <w:pStyle w:val="61"/>
              <w:rPr>
                <w:rFonts w:ascii="Times New Roman"/>
                <w:b/>
              </w:rPr>
            </w:pPr>
          </w:p>
        </w:tc>
      </w:tr>
      <w:tr w14:paraId="5A2F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0080" w:type="dxa"/>
            <w:gridSpan w:val="2"/>
            <w:vAlign w:val="center"/>
          </w:tcPr>
          <w:p w14:paraId="65EBE1C6">
            <w:pPr>
              <w:rPr>
                <w:bCs/>
              </w:rPr>
            </w:pPr>
            <w:r>
              <w:rPr>
                <w:rFonts w:eastAsia="黑体"/>
              </w:rPr>
              <w:t>总报价（大写）</w:t>
            </w:r>
            <w:r>
              <w:rPr>
                <w:bCs/>
                <w:kern w:val="0"/>
              </w:rPr>
              <w:t>：　　　</w:t>
            </w:r>
          </w:p>
        </w:tc>
      </w:tr>
    </w:tbl>
    <w:p w14:paraId="3C0F1BFE">
      <w:pPr>
        <w:spacing w:before="5"/>
        <w:rPr>
          <w:b/>
          <w:bCs/>
        </w:rPr>
      </w:pPr>
      <w:r>
        <w:rPr>
          <w:b/>
          <w:bCs/>
        </w:rPr>
        <w:t>法定代表人或法定代表人授权代表签字或盖章：</w:t>
      </w:r>
    </w:p>
    <w:p w14:paraId="0C7ABB1F"/>
    <w:p w14:paraId="711A925A">
      <w:pPr>
        <w:ind w:firstLine="420" w:firstLineChars="175"/>
        <w:outlineLvl w:val="0"/>
        <w:rPr>
          <w:rFonts w:hint="eastAsia" w:ascii="黑体" w:hAnsi="宋体" w:eastAsia="黑体"/>
          <w:bCs/>
          <w:color w:val="000000"/>
          <w:sz w:val="24"/>
        </w:rPr>
      </w:pPr>
    </w:p>
    <w:p w14:paraId="4F70A74C">
      <w:pPr>
        <w:ind w:firstLine="420" w:firstLineChars="175"/>
        <w:outlineLvl w:val="0"/>
        <w:rPr>
          <w:rFonts w:hint="eastAsia" w:ascii="黑体" w:hAnsi="宋体" w:eastAsia="黑体"/>
          <w:bCs/>
          <w:color w:val="000000"/>
          <w:sz w:val="24"/>
        </w:rPr>
      </w:pPr>
    </w:p>
    <w:p w14:paraId="25C37C33">
      <w:pPr>
        <w:ind w:firstLine="420" w:firstLineChars="175"/>
        <w:outlineLvl w:val="0"/>
        <w:rPr>
          <w:rFonts w:hint="eastAsia" w:ascii="黑体" w:hAnsi="宋体" w:eastAsia="黑体"/>
          <w:bCs/>
          <w:color w:val="000000"/>
          <w:sz w:val="24"/>
        </w:rPr>
      </w:pPr>
    </w:p>
    <w:p w14:paraId="70A00D99">
      <w:pPr>
        <w:ind w:firstLine="420" w:firstLineChars="175"/>
        <w:outlineLvl w:val="0"/>
        <w:rPr>
          <w:rFonts w:hint="eastAsia" w:ascii="黑体" w:hAnsi="宋体" w:eastAsia="黑体"/>
          <w:bCs/>
          <w:color w:val="000000"/>
          <w:sz w:val="24"/>
        </w:rPr>
      </w:pPr>
    </w:p>
    <w:p w14:paraId="3D591E27"/>
    <w:p w14:paraId="00A0EC3D"/>
    <w:p w14:paraId="62A0489D"/>
    <w:p w14:paraId="77CFEFF8"/>
    <w:p w14:paraId="7DB60D75"/>
    <w:bookmarkEnd w:id="42"/>
    <w:bookmarkEnd w:id="43"/>
    <w:p w14:paraId="0BAB2F3B"/>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B4F938-753B-4EB6-AF0A-629F1FB99D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C843722-A8CC-4448-BAD5-2080D1D57EC6}"/>
  </w:font>
  <w:font w:name="方正仿宋_GBK">
    <w:panose1 w:val="03000509000000000000"/>
    <w:charset w:val="86"/>
    <w:family w:val="auto"/>
    <w:pitch w:val="default"/>
    <w:sig w:usb0="00000001" w:usb1="080E0000" w:usb2="00000000" w:usb3="00000000" w:csb0="00040000" w:csb1="00000000"/>
    <w:embedRegular r:id="rId3" w:fontKey="{AE54257C-C401-4B27-AB01-39973293CF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4" w:fontKey="{777CD9C6-B916-4368-AFBA-B054EA4BD0DE}"/>
  </w:font>
  <w:font w:name="Microsoft YaHei UI">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5" w:fontKey="{6ADE93E0-691E-40E6-8A5F-C58DBF02E6F4}"/>
  </w:font>
  <w:font w:name="楷体_GB2312">
    <w:panose1 w:val="02010609030101010101"/>
    <w:charset w:val="86"/>
    <w:family w:val="modern"/>
    <w:pitch w:val="default"/>
    <w:sig w:usb0="00000001" w:usb1="080E0000" w:usb2="00000000" w:usb3="00000000" w:csb0="00040000" w:csb1="00000000"/>
    <w:embedRegular r:id="rId6" w:fontKey="{79870352-0C05-41A3-BAA3-B1BF67E96E32}"/>
  </w:font>
  <w:font w:name="华文新魏">
    <w:panose1 w:val="02010800040101010101"/>
    <w:charset w:val="86"/>
    <w:family w:val="auto"/>
    <w:pitch w:val="default"/>
    <w:sig w:usb0="00000001" w:usb1="080F0000" w:usb2="00000000" w:usb3="00000000" w:csb0="00040000" w:csb1="00000000"/>
    <w:embedRegular r:id="rId7" w:fontKey="{F8A733AE-CBC9-477A-8745-3974B2856D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615B">
    <w:pPr>
      <w:pStyle w:val="16"/>
      <w:framePr w:wrap="around" w:vAnchor="text" w:hAnchor="margin" w:xAlign="right" w:y="1"/>
      <w:rPr>
        <w:rStyle w:val="27"/>
      </w:rPr>
    </w:pPr>
    <w:r>
      <w:fldChar w:fldCharType="begin"/>
    </w:r>
    <w:r>
      <w:rPr>
        <w:rStyle w:val="27"/>
      </w:rPr>
      <w:instrText xml:space="preserve">PAGE  </w:instrText>
    </w:r>
    <w:r>
      <w:fldChar w:fldCharType="separate"/>
    </w:r>
    <w:r>
      <w:rPr>
        <w:rStyle w:val="27"/>
      </w:rPr>
      <w:t>21</w:t>
    </w:r>
    <w:r>
      <w:fldChar w:fldCharType="end"/>
    </w:r>
  </w:p>
  <w:p w14:paraId="32479DF8">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762F0">
    <w:pPr>
      <w:pStyle w:val="16"/>
      <w:framePr w:wrap="around" w:vAnchor="text" w:hAnchor="margin" w:xAlign="right" w:y="1"/>
      <w:rPr>
        <w:rStyle w:val="27"/>
      </w:rPr>
    </w:pPr>
    <w:r>
      <w:fldChar w:fldCharType="begin"/>
    </w:r>
    <w:r>
      <w:rPr>
        <w:rStyle w:val="27"/>
      </w:rPr>
      <w:instrText xml:space="preserve">PAGE  </w:instrText>
    </w:r>
    <w:r>
      <w:fldChar w:fldCharType="end"/>
    </w:r>
  </w:p>
  <w:p w14:paraId="2F92D667">
    <w:pPr>
      <w:pStyle w:val="1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56500"/>
    <w:multiLevelType w:val="singleLevel"/>
    <w:tmpl w:val="B4256500"/>
    <w:lvl w:ilvl="0" w:tentative="0">
      <w:start w:val="1"/>
      <w:numFmt w:val="decimal"/>
      <w:lvlText w:val="%1."/>
      <w:lvlJc w:val="left"/>
      <w:pPr>
        <w:tabs>
          <w:tab w:val="left" w:pos="312"/>
        </w:tabs>
      </w:pPr>
    </w:lvl>
  </w:abstractNum>
  <w:abstractNum w:abstractNumId="1">
    <w:nsid w:val="FFE84EFA"/>
    <w:multiLevelType w:val="singleLevel"/>
    <w:tmpl w:val="FFE84EFA"/>
    <w:lvl w:ilvl="0" w:tentative="0">
      <w:start w:val="7"/>
      <w:numFmt w:val="chineseCounting"/>
      <w:suff w:val="nothing"/>
      <w:lvlText w:val="%1、"/>
      <w:lvlJc w:val="left"/>
      <w:rPr>
        <w:rFonts w:hint="eastAsia"/>
      </w:rPr>
    </w:lvl>
  </w:abstractNum>
  <w:abstractNum w:abstractNumId="2">
    <w:nsid w:val="4EE4F8C2"/>
    <w:multiLevelType w:val="singleLevel"/>
    <w:tmpl w:val="4EE4F8C2"/>
    <w:lvl w:ilvl="0" w:tentative="0">
      <w:start w:val="1"/>
      <w:numFmt w:val="decimal"/>
      <w:lvlText w:val="%1."/>
      <w:lvlJc w:val="left"/>
      <w:pPr>
        <w:tabs>
          <w:tab w:val="left" w:pos="312"/>
        </w:tabs>
      </w:pPr>
    </w:lvl>
  </w:abstractNum>
  <w:abstractNum w:abstractNumId="3">
    <w:nsid w:val="52B16132"/>
    <w:multiLevelType w:val="singleLevel"/>
    <w:tmpl w:val="52B16132"/>
    <w:lvl w:ilvl="0" w:tentative="0">
      <w:start w:val="3"/>
      <w:numFmt w:val="decimal"/>
      <w:suff w:val="nothing"/>
      <w:lvlText w:val="%1、"/>
      <w:lvlJc w:val="left"/>
    </w:lvl>
  </w:abstractNum>
  <w:abstractNum w:abstractNumId="4">
    <w:nsid w:val="64607A38"/>
    <w:multiLevelType w:val="multilevel"/>
    <w:tmpl w:val="64607A38"/>
    <w:lvl w:ilvl="0" w:tentative="0">
      <w:start w:val="1"/>
      <w:numFmt w:val="chineseCountingThousand"/>
      <w:lvlText w:val="%1．"/>
      <w:lvlJc w:val="left"/>
      <w:pPr>
        <w:tabs>
          <w:tab w:val="left" w:pos="552"/>
        </w:tabs>
        <w:ind w:left="552" w:hanging="420"/>
      </w:pPr>
      <w:rPr>
        <w:rFonts w:hint="eastAsia"/>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iYmQwYzM2NGU2NjBjYjI1YTVjNTAzNmNlOTgzYTEifQ=="/>
  </w:docVars>
  <w:rsids>
    <w:rsidRoot w:val="00172A27"/>
    <w:rsid w:val="000000DB"/>
    <w:rsid w:val="00000329"/>
    <w:rsid w:val="00000B28"/>
    <w:rsid w:val="00000E9B"/>
    <w:rsid w:val="00001AAC"/>
    <w:rsid w:val="00002025"/>
    <w:rsid w:val="00004EA1"/>
    <w:rsid w:val="00005607"/>
    <w:rsid w:val="0000647A"/>
    <w:rsid w:val="000068B7"/>
    <w:rsid w:val="00011817"/>
    <w:rsid w:val="00023B12"/>
    <w:rsid w:val="000255F1"/>
    <w:rsid w:val="0002693C"/>
    <w:rsid w:val="00027D96"/>
    <w:rsid w:val="00027E7F"/>
    <w:rsid w:val="00032882"/>
    <w:rsid w:val="000328E3"/>
    <w:rsid w:val="00034E49"/>
    <w:rsid w:val="000352B4"/>
    <w:rsid w:val="00035F38"/>
    <w:rsid w:val="00040462"/>
    <w:rsid w:val="00041173"/>
    <w:rsid w:val="00041B69"/>
    <w:rsid w:val="00045AB8"/>
    <w:rsid w:val="00047B49"/>
    <w:rsid w:val="000516E7"/>
    <w:rsid w:val="00055829"/>
    <w:rsid w:val="00055CED"/>
    <w:rsid w:val="00055F25"/>
    <w:rsid w:val="00056AD3"/>
    <w:rsid w:val="00060F53"/>
    <w:rsid w:val="00061156"/>
    <w:rsid w:val="000647A1"/>
    <w:rsid w:val="00065127"/>
    <w:rsid w:val="00065D0A"/>
    <w:rsid w:val="000708AD"/>
    <w:rsid w:val="00074D9B"/>
    <w:rsid w:val="00075EB7"/>
    <w:rsid w:val="000804A8"/>
    <w:rsid w:val="000809CB"/>
    <w:rsid w:val="000823BE"/>
    <w:rsid w:val="00087287"/>
    <w:rsid w:val="00090850"/>
    <w:rsid w:val="00091D40"/>
    <w:rsid w:val="00091E72"/>
    <w:rsid w:val="00094A6A"/>
    <w:rsid w:val="00094D73"/>
    <w:rsid w:val="000979B3"/>
    <w:rsid w:val="00097B80"/>
    <w:rsid w:val="000A02CB"/>
    <w:rsid w:val="000A12D8"/>
    <w:rsid w:val="000A298E"/>
    <w:rsid w:val="000A358D"/>
    <w:rsid w:val="000A3E11"/>
    <w:rsid w:val="000A5ACA"/>
    <w:rsid w:val="000A5B7F"/>
    <w:rsid w:val="000B08A8"/>
    <w:rsid w:val="000B0E3F"/>
    <w:rsid w:val="000B347D"/>
    <w:rsid w:val="000C228B"/>
    <w:rsid w:val="000C702B"/>
    <w:rsid w:val="000C7CAE"/>
    <w:rsid w:val="000D3379"/>
    <w:rsid w:val="000D4D46"/>
    <w:rsid w:val="000D5253"/>
    <w:rsid w:val="000D6C77"/>
    <w:rsid w:val="000E12F7"/>
    <w:rsid w:val="000E4EBB"/>
    <w:rsid w:val="000E6ED7"/>
    <w:rsid w:val="000F4765"/>
    <w:rsid w:val="000F66A1"/>
    <w:rsid w:val="001037E7"/>
    <w:rsid w:val="00104301"/>
    <w:rsid w:val="0010602E"/>
    <w:rsid w:val="0011198B"/>
    <w:rsid w:val="00112192"/>
    <w:rsid w:val="00112AD0"/>
    <w:rsid w:val="00114311"/>
    <w:rsid w:val="00116601"/>
    <w:rsid w:val="001169AE"/>
    <w:rsid w:val="00122382"/>
    <w:rsid w:val="00122E29"/>
    <w:rsid w:val="00123283"/>
    <w:rsid w:val="00124A66"/>
    <w:rsid w:val="00127986"/>
    <w:rsid w:val="00131E92"/>
    <w:rsid w:val="001421CF"/>
    <w:rsid w:val="00144887"/>
    <w:rsid w:val="001454E0"/>
    <w:rsid w:val="00145F42"/>
    <w:rsid w:val="00150459"/>
    <w:rsid w:val="001507A9"/>
    <w:rsid w:val="00150C35"/>
    <w:rsid w:val="00150C59"/>
    <w:rsid w:val="00151445"/>
    <w:rsid w:val="00151795"/>
    <w:rsid w:val="00151D85"/>
    <w:rsid w:val="0015340C"/>
    <w:rsid w:val="0015457A"/>
    <w:rsid w:val="00154A48"/>
    <w:rsid w:val="00154A65"/>
    <w:rsid w:val="001562C5"/>
    <w:rsid w:val="0015748B"/>
    <w:rsid w:val="00164FCC"/>
    <w:rsid w:val="0017060B"/>
    <w:rsid w:val="00172A27"/>
    <w:rsid w:val="00172DD6"/>
    <w:rsid w:val="001740FD"/>
    <w:rsid w:val="00176173"/>
    <w:rsid w:val="001764D3"/>
    <w:rsid w:val="001807DD"/>
    <w:rsid w:val="00180E61"/>
    <w:rsid w:val="001813CE"/>
    <w:rsid w:val="00182AE7"/>
    <w:rsid w:val="001838D3"/>
    <w:rsid w:val="00184564"/>
    <w:rsid w:val="00184F3E"/>
    <w:rsid w:val="001869B4"/>
    <w:rsid w:val="001869D8"/>
    <w:rsid w:val="00186C2F"/>
    <w:rsid w:val="00196FF5"/>
    <w:rsid w:val="00197B32"/>
    <w:rsid w:val="001A0E86"/>
    <w:rsid w:val="001A1BCC"/>
    <w:rsid w:val="001A4062"/>
    <w:rsid w:val="001A4136"/>
    <w:rsid w:val="001B445F"/>
    <w:rsid w:val="001B5C0C"/>
    <w:rsid w:val="001B67A7"/>
    <w:rsid w:val="001C25F5"/>
    <w:rsid w:val="001C3A39"/>
    <w:rsid w:val="001C3C62"/>
    <w:rsid w:val="001C4496"/>
    <w:rsid w:val="001C4FC6"/>
    <w:rsid w:val="001C7EA9"/>
    <w:rsid w:val="001D116C"/>
    <w:rsid w:val="001D32BB"/>
    <w:rsid w:val="001D3933"/>
    <w:rsid w:val="001D75D7"/>
    <w:rsid w:val="001F0B13"/>
    <w:rsid w:val="001F1A67"/>
    <w:rsid w:val="001F5692"/>
    <w:rsid w:val="001F6763"/>
    <w:rsid w:val="001F6942"/>
    <w:rsid w:val="00200499"/>
    <w:rsid w:val="00201490"/>
    <w:rsid w:val="00203CF2"/>
    <w:rsid w:val="002064D6"/>
    <w:rsid w:val="0021283A"/>
    <w:rsid w:val="002135B9"/>
    <w:rsid w:val="002138DE"/>
    <w:rsid w:val="00214DFC"/>
    <w:rsid w:val="00217187"/>
    <w:rsid w:val="002205C7"/>
    <w:rsid w:val="00221AC1"/>
    <w:rsid w:val="00222863"/>
    <w:rsid w:val="00224CC6"/>
    <w:rsid w:val="00224E75"/>
    <w:rsid w:val="0022642E"/>
    <w:rsid w:val="002312DB"/>
    <w:rsid w:val="002331B9"/>
    <w:rsid w:val="00236A53"/>
    <w:rsid w:val="00236AFF"/>
    <w:rsid w:val="002411B6"/>
    <w:rsid w:val="002421F5"/>
    <w:rsid w:val="00243FCE"/>
    <w:rsid w:val="00245D27"/>
    <w:rsid w:val="002510CC"/>
    <w:rsid w:val="00252928"/>
    <w:rsid w:val="00254E90"/>
    <w:rsid w:val="00255330"/>
    <w:rsid w:val="00261134"/>
    <w:rsid w:val="00261482"/>
    <w:rsid w:val="00261B60"/>
    <w:rsid w:val="00262F83"/>
    <w:rsid w:val="00265984"/>
    <w:rsid w:val="002673D5"/>
    <w:rsid w:val="002748CA"/>
    <w:rsid w:val="002808AF"/>
    <w:rsid w:val="00284A15"/>
    <w:rsid w:val="00287B4A"/>
    <w:rsid w:val="002903B1"/>
    <w:rsid w:val="002907FD"/>
    <w:rsid w:val="00291BE3"/>
    <w:rsid w:val="00292B08"/>
    <w:rsid w:val="00294B8F"/>
    <w:rsid w:val="00294C25"/>
    <w:rsid w:val="002A0703"/>
    <w:rsid w:val="002A1169"/>
    <w:rsid w:val="002A20F1"/>
    <w:rsid w:val="002A3C8F"/>
    <w:rsid w:val="002A4998"/>
    <w:rsid w:val="002A5405"/>
    <w:rsid w:val="002A7198"/>
    <w:rsid w:val="002A7B42"/>
    <w:rsid w:val="002B033B"/>
    <w:rsid w:val="002B47C8"/>
    <w:rsid w:val="002B7879"/>
    <w:rsid w:val="002C0968"/>
    <w:rsid w:val="002C0FC7"/>
    <w:rsid w:val="002C112E"/>
    <w:rsid w:val="002C510C"/>
    <w:rsid w:val="002C683A"/>
    <w:rsid w:val="002C68B5"/>
    <w:rsid w:val="002D05EA"/>
    <w:rsid w:val="002D58A7"/>
    <w:rsid w:val="002D5EAA"/>
    <w:rsid w:val="002E0855"/>
    <w:rsid w:val="002E399B"/>
    <w:rsid w:val="002E7077"/>
    <w:rsid w:val="002F312E"/>
    <w:rsid w:val="002F679A"/>
    <w:rsid w:val="002F6E36"/>
    <w:rsid w:val="002F787E"/>
    <w:rsid w:val="0030218D"/>
    <w:rsid w:val="00303A9B"/>
    <w:rsid w:val="003041BC"/>
    <w:rsid w:val="0030731A"/>
    <w:rsid w:val="00310ABF"/>
    <w:rsid w:val="00310B5C"/>
    <w:rsid w:val="00312A23"/>
    <w:rsid w:val="003151E1"/>
    <w:rsid w:val="003162D7"/>
    <w:rsid w:val="0032067D"/>
    <w:rsid w:val="00321F68"/>
    <w:rsid w:val="00322D78"/>
    <w:rsid w:val="0032425F"/>
    <w:rsid w:val="003246DB"/>
    <w:rsid w:val="00324BEB"/>
    <w:rsid w:val="00324DC8"/>
    <w:rsid w:val="00325475"/>
    <w:rsid w:val="0033204E"/>
    <w:rsid w:val="00332F10"/>
    <w:rsid w:val="003334A0"/>
    <w:rsid w:val="00333733"/>
    <w:rsid w:val="00333829"/>
    <w:rsid w:val="00334C30"/>
    <w:rsid w:val="0033602A"/>
    <w:rsid w:val="003430F9"/>
    <w:rsid w:val="0034453C"/>
    <w:rsid w:val="00344AF0"/>
    <w:rsid w:val="00344D48"/>
    <w:rsid w:val="003535C9"/>
    <w:rsid w:val="00353EDE"/>
    <w:rsid w:val="00355C41"/>
    <w:rsid w:val="00356234"/>
    <w:rsid w:val="00356356"/>
    <w:rsid w:val="003628B3"/>
    <w:rsid w:val="00363BDC"/>
    <w:rsid w:val="00365921"/>
    <w:rsid w:val="00365E3F"/>
    <w:rsid w:val="0037388C"/>
    <w:rsid w:val="00374B2E"/>
    <w:rsid w:val="0037694F"/>
    <w:rsid w:val="00383257"/>
    <w:rsid w:val="0038558D"/>
    <w:rsid w:val="00385DCA"/>
    <w:rsid w:val="0038741E"/>
    <w:rsid w:val="00392878"/>
    <w:rsid w:val="003931A6"/>
    <w:rsid w:val="003975A8"/>
    <w:rsid w:val="003A03BE"/>
    <w:rsid w:val="003B0D05"/>
    <w:rsid w:val="003B3E71"/>
    <w:rsid w:val="003B48CD"/>
    <w:rsid w:val="003C1554"/>
    <w:rsid w:val="003C4397"/>
    <w:rsid w:val="003D1448"/>
    <w:rsid w:val="003D3F76"/>
    <w:rsid w:val="003D4BDB"/>
    <w:rsid w:val="003D6C4B"/>
    <w:rsid w:val="003E1874"/>
    <w:rsid w:val="003E2844"/>
    <w:rsid w:val="003E3BA7"/>
    <w:rsid w:val="003E5A46"/>
    <w:rsid w:val="003F0043"/>
    <w:rsid w:val="003F05D8"/>
    <w:rsid w:val="003F0C5D"/>
    <w:rsid w:val="003F29C7"/>
    <w:rsid w:val="003F3001"/>
    <w:rsid w:val="003F37CE"/>
    <w:rsid w:val="003F703D"/>
    <w:rsid w:val="003F7874"/>
    <w:rsid w:val="0040119C"/>
    <w:rsid w:val="004012BF"/>
    <w:rsid w:val="00401C5F"/>
    <w:rsid w:val="00403596"/>
    <w:rsid w:val="0040571A"/>
    <w:rsid w:val="00411104"/>
    <w:rsid w:val="00412EF3"/>
    <w:rsid w:val="004160C9"/>
    <w:rsid w:val="0042329B"/>
    <w:rsid w:val="00430E0E"/>
    <w:rsid w:val="00432939"/>
    <w:rsid w:val="0043395B"/>
    <w:rsid w:val="00434279"/>
    <w:rsid w:val="00434D73"/>
    <w:rsid w:val="00436A8F"/>
    <w:rsid w:val="00436FDE"/>
    <w:rsid w:val="004433F3"/>
    <w:rsid w:val="00443B54"/>
    <w:rsid w:val="004457D3"/>
    <w:rsid w:val="00452EB2"/>
    <w:rsid w:val="004536C7"/>
    <w:rsid w:val="00453E41"/>
    <w:rsid w:val="00454FE5"/>
    <w:rsid w:val="004554D3"/>
    <w:rsid w:val="00461EBE"/>
    <w:rsid w:val="0046241F"/>
    <w:rsid w:val="0046292B"/>
    <w:rsid w:val="004632C3"/>
    <w:rsid w:val="004642E0"/>
    <w:rsid w:val="0046665F"/>
    <w:rsid w:val="004736D0"/>
    <w:rsid w:val="00474269"/>
    <w:rsid w:val="00474653"/>
    <w:rsid w:val="00480139"/>
    <w:rsid w:val="00483519"/>
    <w:rsid w:val="00484479"/>
    <w:rsid w:val="00485213"/>
    <w:rsid w:val="0048678A"/>
    <w:rsid w:val="0049093A"/>
    <w:rsid w:val="00491812"/>
    <w:rsid w:val="004930E6"/>
    <w:rsid w:val="004950AB"/>
    <w:rsid w:val="004967B9"/>
    <w:rsid w:val="004A06FB"/>
    <w:rsid w:val="004B4B43"/>
    <w:rsid w:val="004B5E02"/>
    <w:rsid w:val="004B6170"/>
    <w:rsid w:val="004C1009"/>
    <w:rsid w:val="004C12B9"/>
    <w:rsid w:val="004C1A9F"/>
    <w:rsid w:val="004C3014"/>
    <w:rsid w:val="004C706C"/>
    <w:rsid w:val="004C7E5F"/>
    <w:rsid w:val="004D185F"/>
    <w:rsid w:val="004D62A3"/>
    <w:rsid w:val="004E0274"/>
    <w:rsid w:val="004E64EB"/>
    <w:rsid w:val="004E68E9"/>
    <w:rsid w:val="004E7354"/>
    <w:rsid w:val="004F390E"/>
    <w:rsid w:val="004F6870"/>
    <w:rsid w:val="004F6B5C"/>
    <w:rsid w:val="004F767C"/>
    <w:rsid w:val="004F7946"/>
    <w:rsid w:val="0050087F"/>
    <w:rsid w:val="005012B5"/>
    <w:rsid w:val="00501678"/>
    <w:rsid w:val="00501EAF"/>
    <w:rsid w:val="005037E3"/>
    <w:rsid w:val="00503893"/>
    <w:rsid w:val="00512FAD"/>
    <w:rsid w:val="005217FE"/>
    <w:rsid w:val="0052383E"/>
    <w:rsid w:val="00524F10"/>
    <w:rsid w:val="00525847"/>
    <w:rsid w:val="00526168"/>
    <w:rsid w:val="0052703F"/>
    <w:rsid w:val="005309B3"/>
    <w:rsid w:val="00532217"/>
    <w:rsid w:val="00533DE2"/>
    <w:rsid w:val="005344BA"/>
    <w:rsid w:val="00534870"/>
    <w:rsid w:val="00537FB6"/>
    <w:rsid w:val="00540DC1"/>
    <w:rsid w:val="00543F74"/>
    <w:rsid w:val="005448A1"/>
    <w:rsid w:val="00544F64"/>
    <w:rsid w:val="00545775"/>
    <w:rsid w:val="0055133F"/>
    <w:rsid w:val="00551C7B"/>
    <w:rsid w:val="005526E1"/>
    <w:rsid w:val="00553DF0"/>
    <w:rsid w:val="0055436E"/>
    <w:rsid w:val="00560396"/>
    <w:rsid w:val="00561E6E"/>
    <w:rsid w:val="00563955"/>
    <w:rsid w:val="005645CD"/>
    <w:rsid w:val="00567983"/>
    <w:rsid w:val="00572352"/>
    <w:rsid w:val="005740EB"/>
    <w:rsid w:val="0057549E"/>
    <w:rsid w:val="00575BC7"/>
    <w:rsid w:val="00575CC0"/>
    <w:rsid w:val="00580C46"/>
    <w:rsid w:val="005822AD"/>
    <w:rsid w:val="00585D20"/>
    <w:rsid w:val="00586715"/>
    <w:rsid w:val="005916FC"/>
    <w:rsid w:val="005917E7"/>
    <w:rsid w:val="00591B41"/>
    <w:rsid w:val="005921CF"/>
    <w:rsid w:val="005946AF"/>
    <w:rsid w:val="005959EC"/>
    <w:rsid w:val="00595A42"/>
    <w:rsid w:val="00597EF9"/>
    <w:rsid w:val="005B148D"/>
    <w:rsid w:val="005B3BE8"/>
    <w:rsid w:val="005B50E7"/>
    <w:rsid w:val="005B6058"/>
    <w:rsid w:val="005B76D4"/>
    <w:rsid w:val="005C2676"/>
    <w:rsid w:val="005C5D03"/>
    <w:rsid w:val="005C7D25"/>
    <w:rsid w:val="005D2E54"/>
    <w:rsid w:val="005D3DF0"/>
    <w:rsid w:val="005E42BC"/>
    <w:rsid w:val="005E430A"/>
    <w:rsid w:val="005E7252"/>
    <w:rsid w:val="005F029B"/>
    <w:rsid w:val="005F25A8"/>
    <w:rsid w:val="005F4537"/>
    <w:rsid w:val="005F5C70"/>
    <w:rsid w:val="00600436"/>
    <w:rsid w:val="0060110A"/>
    <w:rsid w:val="006011CF"/>
    <w:rsid w:val="00603035"/>
    <w:rsid w:val="0060314E"/>
    <w:rsid w:val="00603367"/>
    <w:rsid w:val="00603991"/>
    <w:rsid w:val="00605C75"/>
    <w:rsid w:val="00611DCB"/>
    <w:rsid w:val="00615E4F"/>
    <w:rsid w:val="00617369"/>
    <w:rsid w:val="0061790A"/>
    <w:rsid w:val="00620A6B"/>
    <w:rsid w:val="006213B9"/>
    <w:rsid w:val="00627497"/>
    <w:rsid w:val="00631F4C"/>
    <w:rsid w:val="00633290"/>
    <w:rsid w:val="0064205E"/>
    <w:rsid w:val="00642A76"/>
    <w:rsid w:val="006439E7"/>
    <w:rsid w:val="006458FC"/>
    <w:rsid w:val="006474A1"/>
    <w:rsid w:val="00651732"/>
    <w:rsid w:val="006546BE"/>
    <w:rsid w:val="00657D6D"/>
    <w:rsid w:val="00657E42"/>
    <w:rsid w:val="006602BD"/>
    <w:rsid w:val="006704CA"/>
    <w:rsid w:val="00670E99"/>
    <w:rsid w:val="00672274"/>
    <w:rsid w:val="00672C07"/>
    <w:rsid w:val="0067382E"/>
    <w:rsid w:val="00673B0B"/>
    <w:rsid w:val="00677566"/>
    <w:rsid w:val="00683669"/>
    <w:rsid w:val="00683CD8"/>
    <w:rsid w:val="00684B7A"/>
    <w:rsid w:val="00685A84"/>
    <w:rsid w:val="00690F2F"/>
    <w:rsid w:val="00691871"/>
    <w:rsid w:val="00691ED7"/>
    <w:rsid w:val="00693751"/>
    <w:rsid w:val="006A3E52"/>
    <w:rsid w:val="006B31CA"/>
    <w:rsid w:val="006B6218"/>
    <w:rsid w:val="006B7188"/>
    <w:rsid w:val="006B7B23"/>
    <w:rsid w:val="006C0397"/>
    <w:rsid w:val="006C064B"/>
    <w:rsid w:val="006C0AD9"/>
    <w:rsid w:val="006C2766"/>
    <w:rsid w:val="006C425B"/>
    <w:rsid w:val="006C6B3F"/>
    <w:rsid w:val="006C773F"/>
    <w:rsid w:val="006D06CD"/>
    <w:rsid w:val="006D3199"/>
    <w:rsid w:val="006E0544"/>
    <w:rsid w:val="006E1ACA"/>
    <w:rsid w:val="006E4B8A"/>
    <w:rsid w:val="006E58D9"/>
    <w:rsid w:val="006E6A7A"/>
    <w:rsid w:val="006F0646"/>
    <w:rsid w:val="006F1C3C"/>
    <w:rsid w:val="006F2670"/>
    <w:rsid w:val="006F2C3A"/>
    <w:rsid w:val="006F3FEF"/>
    <w:rsid w:val="006F4D79"/>
    <w:rsid w:val="006F51FC"/>
    <w:rsid w:val="00703CD1"/>
    <w:rsid w:val="00704198"/>
    <w:rsid w:val="00705E45"/>
    <w:rsid w:val="00706D20"/>
    <w:rsid w:val="0071011D"/>
    <w:rsid w:val="00710EBB"/>
    <w:rsid w:val="00714884"/>
    <w:rsid w:val="00720D32"/>
    <w:rsid w:val="00722F6A"/>
    <w:rsid w:val="007232D9"/>
    <w:rsid w:val="00731406"/>
    <w:rsid w:val="007325C8"/>
    <w:rsid w:val="0073278F"/>
    <w:rsid w:val="00735EC6"/>
    <w:rsid w:val="007421B9"/>
    <w:rsid w:val="00742334"/>
    <w:rsid w:val="0074347E"/>
    <w:rsid w:val="007437F7"/>
    <w:rsid w:val="007442A9"/>
    <w:rsid w:val="00745C0E"/>
    <w:rsid w:val="00746BD9"/>
    <w:rsid w:val="0075216A"/>
    <w:rsid w:val="00753A13"/>
    <w:rsid w:val="007660A4"/>
    <w:rsid w:val="00770F86"/>
    <w:rsid w:val="00771801"/>
    <w:rsid w:val="00772507"/>
    <w:rsid w:val="0077357C"/>
    <w:rsid w:val="0077446B"/>
    <w:rsid w:val="00774A0C"/>
    <w:rsid w:val="00776906"/>
    <w:rsid w:val="00780B97"/>
    <w:rsid w:val="00786677"/>
    <w:rsid w:val="00791654"/>
    <w:rsid w:val="0079399F"/>
    <w:rsid w:val="00793C69"/>
    <w:rsid w:val="00795F3C"/>
    <w:rsid w:val="007961C0"/>
    <w:rsid w:val="00796602"/>
    <w:rsid w:val="0079726B"/>
    <w:rsid w:val="007A108F"/>
    <w:rsid w:val="007A6E6C"/>
    <w:rsid w:val="007A76BC"/>
    <w:rsid w:val="007A7A7B"/>
    <w:rsid w:val="007A7ED7"/>
    <w:rsid w:val="007B38E3"/>
    <w:rsid w:val="007B3FB1"/>
    <w:rsid w:val="007C030D"/>
    <w:rsid w:val="007C21BF"/>
    <w:rsid w:val="007C2312"/>
    <w:rsid w:val="007C5509"/>
    <w:rsid w:val="007C626E"/>
    <w:rsid w:val="007D20C9"/>
    <w:rsid w:val="007E06B7"/>
    <w:rsid w:val="007E0CCC"/>
    <w:rsid w:val="007E0F6E"/>
    <w:rsid w:val="007E3D40"/>
    <w:rsid w:val="007E3EC5"/>
    <w:rsid w:val="007F1F31"/>
    <w:rsid w:val="007F513F"/>
    <w:rsid w:val="007F6A77"/>
    <w:rsid w:val="00802868"/>
    <w:rsid w:val="00802991"/>
    <w:rsid w:val="008054CE"/>
    <w:rsid w:val="008056F3"/>
    <w:rsid w:val="00806EC7"/>
    <w:rsid w:val="008114B5"/>
    <w:rsid w:val="00811F78"/>
    <w:rsid w:val="00812558"/>
    <w:rsid w:val="00816995"/>
    <w:rsid w:val="00817540"/>
    <w:rsid w:val="00823871"/>
    <w:rsid w:val="00827E8C"/>
    <w:rsid w:val="008304EE"/>
    <w:rsid w:val="008328B4"/>
    <w:rsid w:val="008351F5"/>
    <w:rsid w:val="00836811"/>
    <w:rsid w:val="00836C1F"/>
    <w:rsid w:val="00837827"/>
    <w:rsid w:val="00840893"/>
    <w:rsid w:val="00842027"/>
    <w:rsid w:val="00843209"/>
    <w:rsid w:val="008445B0"/>
    <w:rsid w:val="00846AC2"/>
    <w:rsid w:val="0085158B"/>
    <w:rsid w:val="00854A21"/>
    <w:rsid w:val="008553AD"/>
    <w:rsid w:val="0085753A"/>
    <w:rsid w:val="00860003"/>
    <w:rsid w:val="0086598F"/>
    <w:rsid w:val="00873561"/>
    <w:rsid w:val="008759F8"/>
    <w:rsid w:val="00875B6A"/>
    <w:rsid w:val="00876A65"/>
    <w:rsid w:val="0087712D"/>
    <w:rsid w:val="00880368"/>
    <w:rsid w:val="008846FC"/>
    <w:rsid w:val="00884B7B"/>
    <w:rsid w:val="00885E73"/>
    <w:rsid w:val="00886098"/>
    <w:rsid w:val="008865E8"/>
    <w:rsid w:val="0089021E"/>
    <w:rsid w:val="00892F7A"/>
    <w:rsid w:val="00893D24"/>
    <w:rsid w:val="00893DD2"/>
    <w:rsid w:val="008A0A55"/>
    <w:rsid w:val="008A126F"/>
    <w:rsid w:val="008A2366"/>
    <w:rsid w:val="008A557C"/>
    <w:rsid w:val="008A59C3"/>
    <w:rsid w:val="008A7E20"/>
    <w:rsid w:val="008B3304"/>
    <w:rsid w:val="008B339D"/>
    <w:rsid w:val="008B35F4"/>
    <w:rsid w:val="008B5747"/>
    <w:rsid w:val="008B6584"/>
    <w:rsid w:val="008C0928"/>
    <w:rsid w:val="008C2A26"/>
    <w:rsid w:val="008C34FD"/>
    <w:rsid w:val="008C388C"/>
    <w:rsid w:val="008C6647"/>
    <w:rsid w:val="008C7313"/>
    <w:rsid w:val="008D0D80"/>
    <w:rsid w:val="008D5B9C"/>
    <w:rsid w:val="008D6AC9"/>
    <w:rsid w:val="008D78A1"/>
    <w:rsid w:val="008D7902"/>
    <w:rsid w:val="008E0F9E"/>
    <w:rsid w:val="008E33B1"/>
    <w:rsid w:val="008E3F88"/>
    <w:rsid w:val="008F1C49"/>
    <w:rsid w:val="008F308E"/>
    <w:rsid w:val="008F58EB"/>
    <w:rsid w:val="008F5EA7"/>
    <w:rsid w:val="008F73EA"/>
    <w:rsid w:val="008F7F31"/>
    <w:rsid w:val="00900CFE"/>
    <w:rsid w:val="00901198"/>
    <w:rsid w:val="0090166C"/>
    <w:rsid w:val="00903BCC"/>
    <w:rsid w:val="00905302"/>
    <w:rsid w:val="00910784"/>
    <w:rsid w:val="0091150C"/>
    <w:rsid w:val="00914483"/>
    <w:rsid w:val="0091615F"/>
    <w:rsid w:val="00916352"/>
    <w:rsid w:val="0091677B"/>
    <w:rsid w:val="009172A3"/>
    <w:rsid w:val="009177C6"/>
    <w:rsid w:val="00917B92"/>
    <w:rsid w:val="00922326"/>
    <w:rsid w:val="009232F9"/>
    <w:rsid w:val="009237B6"/>
    <w:rsid w:val="0092421A"/>
    <w:rsid w:val="0094234F"/>
    <w:rsid w:val="0094332F"/>
    <w:rsid w:val="00944A59"/>
    <w:rsid w:val="00944E77"/>
    <w:rsid w:val="00945B56"/>
    <w:rsid w:val="00947760"/>
    <w:rsid w:val="0095179B"/>
    <w:rsid w:val="00952FE1"/>
    <w:rsid w:val="00953D0D"/>
    <w:rsid w:val="009566DE"/>
    <w:rsid w:val="009573E9"/>
    <w:rsid w:val="00957990"/>
    <w:rsid w:val="00960FA6"/>
    <w:rsid w:val="00962374"/>
    <w:rsid w:val="0096243D"/>
    <w:rsid w:val="009725C8"/>
    <w:rsid w:val="00972683"/>
    <w:rsid w:val="00972E2A"/>
    <w:rsid w:val="009733D7"/>
    <w:rsid w:val="009813EC"/>
    <w:rsid w:val="00986FE4"/>
    <w:rsid w:val="009879CF"/>
    <w:rsid w:val="009958BF"/>
    <w:rsid w:val="009958CE"/>
    <w:rsid w:val="00997C89"/>
    <w:rsid w:val="009A1A0D"/>
    <w:rsid w:val="009A5E02"/>
    <w:rsid w:val="009A62C8"/>
    <w:rsid w:val="009A6CE0"/>
    <w:rsid w:val="009A71A5"/>
    <w:rsid w:val="009A7497"/>
    <w:rsid w:val="009B0CE2"/>
    <w:rsid w:val="009B115D"/>
    <w:rsid w:val="009B53EE"/>
    <w:rsid w:val="009B5BE9"/>
    <w:rsid w:val="009B68BD"/>
    <w:rsid w:val="009C2887"/>
    <w:rsid w:val="009C3064"/>
    <w:rsid w:val="009C6791"/>
    <w:rsid w:val="009D115C"/>
    <w:rsid w:val="009D1DA6"/>
    <w:rsid w:val="009E25A8"/>
    <w:rsid w:val="009E33BE"/>
    <w:rsid w:val="009E3824"/>
    <w:rsid w:val="009E455C"/>
    <w:rsid w:val="009E5595"/>
    <w:rsid w:val="009E78A2"/>
    <w:rsid w:val="009E7ADE"/>
    <w:rsid w:val="009F0F03"/>
    <w:rsid w:val="009F248C"/>
    <w:rsid w:val="009F7CD1"/>
    <w:rsid w:val="009F7E95"/>
    <w:rsid w:val="00A014FD"/>
    <w:rsid w:val="00A01BAA"/>
    <w:rsid w:val="00A0305C"/>
    <w:rsid w:val="00A04D91"/>
    <w:rsid w:val="00A05EF2"/>
    <w:rsid w:val="00A06CA0"/>
    <w:rsid w:val="00A07C50"/>
    <w:rsid w:val="00A07E2D"/>
    <w:rsid w:val="00A111F8"/>
    <w:rsid w:val="00A112BD"/>
    <w:rsid w:val="00A12821"/>
    <w:rsid w:val="00A129A6"/>
    <w:rsid w:val="00A14177"/>
    <w:rsid w:val="00A16B40"/>
    <w:rsid w:val="00A174C0"/>
    <w:rsid w:val="00A17B51"/>
    <w:rsid w:val="00A20AD5"/>
    <w:rsid w:val="00A20EB1"/>
    <w:rsid w:val="00A21546"/>
    <w:rsid w:val="00A275A3"/>
    <w:rsid w:val="00A27E09"/>
    <w:rsid w:val="00A306EB"/>
    <w:rsid w:val="00A30B03"/>
    <w:rsid w:val="00A36B20"/>
    <w:rsid w:val="00A40B69"/>
    <w:rsid w:val="00A437D9"/>
    <w:rsid w:val="00A45A88"/>
    <w:rsid w:val="00A5715E"/>
    <w:rsid w:val="00A62C48"/>
    <w:rsid w:val="00A64CCB"/>
    <w:rsid w:val="00A71B43"/>
    <w:rsid w:val="00A74C65"/>
    <w:rsid w:val="00A771A7"/>
    <w:rsid w:val="00A810DB"/>
    <w:rsid w:val="00A8238A"/>
    <w:rsid w:val="00A82826"/>
    <w:rsid w:val="00A85B2E"/>
    <w:rsid w:val="00A86C56"/>
    <w:rsid w:val="00A9246B"/>
    <w:rsid w:val="00A9325B"/>
    <w:rsid w:val="00A96F7D"/>
    <w:rsid w:val="00AA0B1D"/>
    <w:rsid w:val="00AA0F8F"/>
    <w:rsid w:val="00AA1706"/>
    <w:rsid w:val="00AA28F3"/>
    <w:rsid w:val="00AA585E"/>
    <w:rsid w:val="00AA7AE2"/>
    <w:rsid w:val="00AB264D"/>
    <w:rsid w:val="00AB50E6"/>
    <w:rsid w:val="00AC4652"/>
    <w:rsid w:val="00AC5E9F"/>
    <w:rsid w:val="00AC6984"/>
    <w:rsid w:val="00AD07DC"/>
    <w:rsid w:val="00AD0843"/>
    <w:rsid w:val="00AD2B39"/>
    <w:rsid w:val="00AD35BC"/>
    <w:rsid w:val="00AD6F37"/>
    <w:rsid w:val="00AE00E5"/>
    <w:rsid w:val="00AE02D4"/>
    <w:rsid w:val="00AE2845"/>
    <w:rsid w:val="00AE2CC2"/>
    <w:rsid w:val="00AE3016"/>
    <w:rsid w:val="00AE3730"/>
    <w:rsid w:val="00AE580B"/>
    <w:rsid w:val="00AE5AF7"/>
    <w:rsid w:val="00AF005C"/>
    <w:rsid w:val="00AF03DC"/>
    <w:rsid w:val="00AF0FE7"/>
    <w:rsid w:val="00AF28C4"/>
    <w:rsid w:val="00AF4907"/>
    <w:rsid w:val="00AF5940"/>
    <w:rsid w:val="00AF69B3"/>
    <w:rsid w:val="00AF69BB"/>
    <w:rsid w:val="00AF7A00"/>
    <w:rsid w:val="00B07072"/>
    <w:rsid w:val="00B1189A"/>
    <w:rsid w:val="00B11BD3"/>
    <w:rsid w:val="00B120C0"/>
    <w:rsid w:val="00B13E24"/>
    <w:rsid w:val="00B16C75"/>
    <w:rsid w:val="00B20809"/>
    <w:rsid w:val="00B211A7"/>
    <w:rsid w:val="00B22C22"/>
    <w:rsid w:val="00B24206"/>
    <w:rsid w:val="00B24652"/>
    <w:rsid w:val="00B2520B"/>
    <w:rsid w:val="00B254F2"/>
    <w:rsid w:val="00B260D5"/>
    <w:rsid w:val="00B33092"/>
    <w:rsid w:val="00B33F2A"/>
    <w:rsid w:val="00B353A6"/>
    <w:rsid w:val="00B375C2"/>
    <w:rsid w:val="00B41E88"/>
    <w:rsid w:val="00B438B8"/>
    <w:rsid w:val="00B45BAF"/>
    <w:rsid w:val="00B45DDF"/>
    <w:rsid w:val="00B52FB3"/>
    <w:rsid w:val="00B531FD"/>
    <w:rsid w:val="00B623E4"/>
    <w:rsid w:val="00B64BA1"/>
    <w:rsid w:val="00B64DD8"/>
    <w:rsid w:val="00B65D18"/>
    <w:rsid w:val="00B70D12"/>
    <w:rsid w:val="00B72A4C"/>
    <w:rsid w:val="00B75818"/>
    <w:rsid w:val="00B75A19"/>
    <w:rsid w:val="00B76A02"/>
    <w:rsid w:val="00B76B0A"/>
    <w:rsid w:val="00B81227"/>
    <w:rsid w:val="00B81302"/>
    <w:rsid w:val="00B83B79"/>
    <w:rsid w:val="00B83EFD"/>
    <w:rsid w:val="00B858BD"/>
    <w:rsid w:val="00B87E31"/>
    <w:rsid w:val="00B9173E"/>
    <w:rsid w:val="00B91BE5"/>
    <w:rsid w:val="00BA0390"/>
    <w:rsid w:val="00BA0F86"/>
    <w:rsid w:val="00BA1317"/>
    <w:rsid w:val="00BA2EAE"/>
    <w:rsid w:val="00BA734C"/>
    <w:rsid w:val="00BB0281"/>
    <w:rsid w:val="00BB211F"/>
    <w:rsid w:val="00BB3DF8"/>
    <w:rsid w:val="00BB423B"/>
    <w:rsid w:val="00BB56F5"/>
    <w:rsid w:val="00BB7167"/>
    <w:rsid w:val="00BC2E32"/>
    <w:rsid w:val="00BC39FD"/>
    <w:rsid w:val="00BC531B"/>
    <w:rsid w:val="00BD5DA4"/>
    <w:rsid w:val="00BD60DA"/>
    <w:rsid w:val="00BE0263"/>
    <w:rsid w:val="00BE356F"/>
    <w:rsid w:val="00BE752E"/>
    <w:rsid w:val="00BE7B80"/>
    <w:rsid w:val="00BF02AC"/>
    <w:rsid w:val="00BF5BD7"/>
    <w:rsid w:val="00C00D8A"/>
    <w:rsid w:val="00C0167B"/>
    <w:rsid w:val="00C034E4"/>
    <w:rsid w:val="00C04C22"/>
    <w:rsid w:val="00C0558F"/>
    <w:rsid w:val="00C1039B"/>
    <w:rsid w:val="00C11371"/>
    <w:rsid w:val="00C149E4"/>
    <w:rsid w:val="00C15F31"/>
    <w:rsid w:val="00C1732D"/>
    <w:rsid w:val="00C22065"/>
    <w:rsid w:val="00C253BF"/>
    <w:rsid w:val="00C324D1"/>
    <w:rsid w:val="00C33124"/>
    <w:rsid w:val="00C33B57"/>
    <w:rsid w:val="00C35F02"/>
    <w:rsid w:val="00C427FD"/>
    <w:rsid w:val="00C45B95"/>
    <w:rsid w:val="00C47F84"/>
    <w:rsid w:val="00C503B8"/>
    <w:rsid w:val="00C50FC6"/>
    <w:rsid w:val="00C51F61"/>
    <w:rsid w:val="00C54147"/>
    <w:rsid w:val="00C54D3A"/>
    <w:rsid w:val="00C6377E"/>
    <w:rsid w:val="00C637C2"/>
    <w:rsid w:val="00C65F90"/>
    <w:rsid w:val="00C66CC8"/>
    <w:rsid w:val="00C70DFF"/>
    <w:rsid w:val="00C71993"/>
    <w:rsid w:val="00C7271A"/>
    <w:rsid w:val="00C73B10"/>
    <w:rsid w:val="00C73C79"/>
    <w:rsid w:val="00C748B7"/>
    <w:rsid w:val="00C74FDC"/>
    <w:rsid w:val="00C7533C"/>
    <w:rsid w:val="00C7689B"/>
    <w:rsid w:val="00C827C5"/>
    <w:rsid w:val="00C8335C"/>
    <w:rsid w:val="00C85DD3"/>
    <w:rsid w:val="00C87A08"/>
    <w:rsid w:val="00C87CB7"/>
    <w:rsid w:val="00C90E32"/>
    <w:rsid w:val="00C914D4"/>
    <w:rsid w:val="00C91E43"/>
    <w:rsid w:val="00C92C6A"/>
    <w:rsid w:val="00C955D9"/>
    <w:rsid w:val="00C97A2A"/>
    <w:rsid w:val="00CA0046"/>
    <w:rsid w:val="00CA135B"/>
    <w:rsid w:val="00CA141A"/>
    <w:rsid w:val="00CA6FD3"/>
    <w:rsid w:val="00CB0671"/>
    <w:rsid w:val="00CB2C13"/>
    <w:rsid w:val="00CB38C2"/>
    <w:rsid w:val="00CB441D"/>
    <w:rsid w:val="00CB48C6"/>
    <w:rsid w:val="00CB6302"/>
    <w:rsid w:val="00CC0D55"/>
    <w:rsid w:val="00CC3833"/>
    <w:rsid w:val="00CC401B"/>
    <w:rsid w:val="00CC48ED"/>
    <w:rsid w:val="00CC60A5"/>
    <w:rsid w:val="00CC7B7A"/>
    <w:rsid w:val="00CC7EF3"/>
    <w:rsid w:val="00CD1572"/>
    <w:rsid w:val="00CD3B19"/>
    <w:rsid w:val="00CD3B3B"/>
    <w:rsid w:val="00CD5E5E"/>
    <w:rsid w:val="00CD7C42"/>
    <w:rsid w:val="00CE17E3"/>
    <w:rsid w:val="00CF785F"/>
    <w:rsid w:val="00CF7E47"/>
    <w:rsid w:val="00D00690"/>
    <w:rsid w:val="00D0266B"/>
    <w:rsid w:val="00D04AFC"/>
    <w:rsid w:val="00D068E1"/>
    <w:rsid w:val="00D104FD"/>
    <w:rsid w:val="00D111D4"/>
    <w:rsid w:val="00D17B4E"/>
    <w:rsid w:val="00D20F75"/>
    <w:rsid w:val="00D250BB"/>
    <w:rsid w:val="00D27334"/>
    <w:rsid w:val="00D3367E"/>
    <w:rsid w:val="00D47029"/>
    <w:rsid w:val="00D553EE"/>
    <w:rsid w:val="00D55A43"/>
    <w:rsid w:val="00D65875"/>
    <w:rsid w:val="00D7631B"/>
    <w:rsid w:val="00D767F8"/>
    <w:rsid w:val="00D76D0C"/>
    <w:rsid w:val="00D77D56"/>
    <w:rsid w:val="00D81C11"/>
    <w:rsid w:val="00D82F57"/>
    <w:rsid w:val="00D840AA"/>
    <w:rsid w:val="00D846D8"/>
    <w:rsid w:val="00D86244"/>
    <w:rsid w:val="00D946D5"/>
    <w:rsid w:val="00D94975"/>
    <w:rsid w:val="00D95AA0"/>
    <w:rsid w:val="00D97546"/>
    <w:rsid w:val="00DA073A"/>
    <w:rsid w:val="00DA4E79"/>
    <w:rsid w:val="00DA6746"/>
    <w:rsid w:val="00DA6EEB"/>
    <w:rsid w:val="00DB11B4"/>
    <w:rsid w:val="00DB1457"/>
    <w:rsid w:val="00DB4059"/>
    <w:rsid w:val="00DC0224"/>
    <w:rsid w:val="00DD02F0"/>
    <w:rsid w:val="00DD122B"/>
    <w:rsid w:val="00DD48B9"/>
    <w:rsid w:val="00DD7C18"/>
    <w:rsid w:val="00DE17DD"/>
    <w:rsid w:val="00DE1F72"/>
    <w:rsid w:val="00DE2874"/>
    <w:rsid w:val="00DE561F"/>
    <w:rsid w:val="00DE5F3E"/>
    <w:rsid w:val="00DF1F76"/>
    <w:rsid w:val="00DF2021"/>
    <w:rsid w:val="00DF26C8"/>
    <w:rsid w:val="00DF2B45"/>
    <w:rsid w:val="00DF3E35"/>
    <w:rsid w:val="00DF40FF"/>
    <w:rsid w:val="00DF4426"/>
    <w:rsid w:val="00DF6F33"/>
    <w:rsid w:val="00E0138B"/>
    <w:rsid w:val="00E01D29"/>
    <w:rsid w:val="00E02559"/>
    <w:rsid w:val="00E0535A"/>
    <w:rsid w:val="00E14186"/>
    <w:rsid w:val="00E1579C"/>
    <w:rsid w:val="00E205BD"/>
    <w:rsid w:val="00E2085B"/>
    <w:rsid w:val="00E2568E"/>
    <w:rsid w:val="00E26CB7"/>
    <w:rsid w:val="00E27574"/>
    <w:rsid w:val="00E3544B"/>
    <w:rsid w:val="00E35BAF"/>
    <w:rsid w:val="00E36F0F"/>
    <w:rsid w:val="00E41365"/>
    <w:rsid w:val="00E46A27"/>
    <w:rsid w:val="00E470D4"/>
    <w:rsid w:val="00E47F4F"/>
    <w:rsid w:val="00E547D2"/>
    <w:rsid w:val="00E55BF9"/>
    <w:rsid w:val="00E607E9"/>
    <w:rsid w:val="00E63134"/>
    <w:rsid w:val="00E66EDB"/>
    <w:rsid w:val="00E670F2"/>
    <w:rsid w:val="00E6762C"/>
    <w:rsid w:val="00E678D1"/>
    <w:rsid w:val="00E70AE5"/>
    <w:rsid w:val="00E720B8"/>
    <w:rsid w:val="00E7682E"/>
    <w:rsid w:val="00E7689A"/>
    <w:rsid w:val="00E77992"/>
    <w:rsid w:val="00E8030E"/>
    <w:rsid w:val="00E80370"/>
    <w:rsid w:val="00E823CF"/>
    <w:rsid w:val="00E83F4F"/>
    <w:rsid w:val="00E9036B"/>
    <w:rsid w:val="00E93570"/>
    <w:rsid w:val="00E96868"/>
    <w:rsid w:val="00E96C0C"/>
    <w:rsid w:val="00EA1916"/>
    <w:rsid w:val="00EA212B"/>
    <w:rsid w:val="00EA3870"/>
    <w:rsid w:val="00EA38F6"/>
    <w:rsid w:val="00EA3F33"/>
    <w:rsid w:val="00EA6017"/>
    <w:rsid w:val="00EB71A8"/>
    <w:rsid w:val="00EC0FFC"/>
    <w:rsid w:val="00EC25F5"/>
    <w:rsid w:val="00EC4746"/>
    <w:rsid w:val="00ED0143"/>
    <w:rsid w:val="00ED0BA9"/>
    <w:rsid w:val="00ED4966"/>
    <w:rsid w:val="00ED5D76"/>
    <w:rsid w:val="00ED6270"/>
    <w:rsid w:val="00ED663D"/>
    <w:rsid w:val="00EE0A75"/>
    <w:rsid w:val="00EE28AE"/>
    <w:rsid w:val="00EE32F4"/>
    <w:rsid w:val="00EE6D25"/>
    <w:rsid w:val="00EE7357"/>
    <w:rsid w:val="00EF0D3A"/>
    <w:rsid w:val="00EF6375"/>
    <w:rsid w:val="00F00D5E"/>
    <w:rsid w:val="00F05A8F"/>
    <w:rsid w:val="00F06635"/>
    <w:rsid w:val="00F06894"/>
    <w:rsid w:val="00F06D4F"/>
    <w:rsid w:val="00F11ABE"/>
    <w:rsid w:val="00F16140"/>
    <w:rsid w:val="00F201BD"/>
    <w:rsid w:val="00F2200D"/>
    <w:rsid w:val="00F22DCC"/>
    <w:rsid w:val="00F3102E"/>
    <w:rsid w:val="00F317D6"/>
    <w:rsid w:val="00F31D58"/>
    <w:rsid w:val="00F357F9"/>
    <w:rsid w:val="00F35DAA"/>
    <w:rsid w:val="00F3671A"/>
    <w:rsid w:val="00F37FDF"/>
    <w:rsid w:val="00F42AE0"/>
    <w:rsid w:val="00F42ED4"/>
    <w:rsid w:val="00F461E4"/>
    <w:rsid w:val="00F476CF"/>
    <w:rsid w:val="00F51EF9"/>
    <w:rsid w:val="00F539BE"/>
    <w:rsid w:val="00F53C5C"/>
    <w:rsid w:val="00F54CD7"/>
    <w:rsid w:val="00F551D1"/>
    <w:rsid w:val="00F554AA"/>
    <w:rsid w:val="00F57C02"/>
    <w:rsid w:val="00F603A1"/>
    <w:rsid w:val="00F63230"/>
    <w:rsid w:val="00F63BC2"/>
    <w:rsid w:val="00F64A18"/>
    <w:rsid w:val="00F64ACA"/>
    <w:rsid w:val="00F66F39"/>
    <w:rsid w:val="00F679D9"/>
    <w:rsid w:val="00F700FB"/>
    <w:rsid w:val="00F72111"/>
    <w:rsid w:val="00F722E9"/>
    <w:rsid w:val="00F732CA"/>
    <w:rsid w:val="00F7366A"/>
    <w:rsid w:val="00F742B7"/>
    <w:rsid w:val="00F75108"/>
    <w:rsid w:val="00F76858"/>
    <w:rsid w:val="00F76D3A"/>
    <w:rsid w:val="00F80842"/>
    <w:rsid w:val="00F826BF"/>
    <w:rsid w:val="00F94092"/>
    <w:rsid w:val="00F94CB6"/>
    <w:rsid w:val="00F96F76"/>
    <w:rsid w:val="00F97265"/>
    <w:rsid w:val="00FA4325"/>
    <w:rsid w:val="00FA46CD"/>
    <w:rsid w:val="00FB202B"/>
    <w:rsid w:val="00FB35BF"/>
    <w:rsid w:val="00FB3EF1"/>
    <w:rsid w:val="00FB51DF"/>
    <w:rsid w:val="00FB62DA"/>
    <w:rsid w:val="00FC1CCA"/>
    <w:rsid w:val="00FC1D49"/>
    <w:rsid w:val="00FC592E"/>
    <w:rsid w:val="00FC7AD5"/>
    <w:rsid w:val="00FD0724"/>
    <w:rsid w:val="00FD39DD"/>
    <w:rsid w:val="00FD5929"/>
    <w:rsid w:val="00FD77F6"/>
    <w:rsid w:val="00FE1D83"/>
    <w:rsid w:val="00FE2985"/>
    <w:rsid w:val="00FE2A22"/>
    <w:rsid w:val="00FE47CF"/>
    <w:rsid w:val="00FE4B55"/>
    <w:rsid w:val="00FE5158"/>
    <w:rsid w:val="00FE6AE4"/>
    <w:rsid w:val="00FE7067"/>
    <w:rsid w:val="00FE71AD"/>
    <w:rsid w:val="00FE7AC1"/>
    <w:rsid w:val="00FF0274"/>
    <w:rsid w:val="00FF078B"/>
    <w:rsid w:val="00FF0D46"/>
    <w:rsid w:val="00FF0DFB"/>
    <w:rsid w:val="00FF11AF"/>
    <w:rsid w:val="00FF4730"/>
    <w:rsid w:val="00FF5A13"/>
    <w:rsid w:val="00FF6983"/>
    <w:rsid w:val="00FF6D37"/>
    <w:rsid w:val="021A2D04"/>
    <w:rsid w:val="02571C51"/>
    <w:rsid w:val="0290251C"/>
    <w:rsid w:val="03122A26"/>
    <w:rsid w:val="038E1340"/>
    <w:rsid w:val="03A4196E"/>
    <w:rsid w:val="03DD2490"/>
    <w:rsid w:val="041E59AC"/>
    <w:rsid w:val="04D0122F"/>
    <w:rsid w:val="09774D1D"/>
    <w:rsid w:val="09932007"/>
    <w:rsid w:val="0A606A83"/>
    <w:rsid w:val="0AFA0BBC"/>
    <w:rsid w:val="0AFF3C3B"/>
    <w:rsid w:val="0B1A4B96"/>
    <w:rsid w:val="0B1E77EB"/>
    <w:rsid w:val="0B7F048B"/>
    <w:rsid w:val="0BCD761D"/>
    <w:rsid w:val="0D1C1923"/>
    <w:rsid w:val="0D9B60FF"/>
    <w:rsid w:val="0E082B8F"/>
    <w:rsid w:val="0ED62150"/>
    <w:rsid w:val="0F2D4648"/>
    <w:rsid w:val="0FA63EF8"/>
    <w:rsid w:val="0FC8446C"/>
    <w:rsid w:val="10DE353E"/>
    <w:rsid w:val="10E72E4E"/>
    <w:rsid w:val="116A7FAF"/>
    <w:rsid w:val="11E94E56"/>
    <w:rsid w:val="131832EB"/>
    <w:rsid w:val="16272E56"/>
    <w:rsid w:val="16455606"/>
    <w:rsid w:val="164D0F49"/>
    <w:rsid w:val="168242D0"/>
    <w:rsid w:val="169B0A44"/>
    <w:rsid w:val="17663208"/>
    <w:rsid w:val="178526A6"/>
    <w:rsid w:val="187B68C2"/>
    <w:rsid w:val="192D7FBF"/>
    <w:rsid w:val="1A496A23"/>
    <w:rsid w:val="1A9B5523"/>
    <w:rsid w:val="1AA21F97"/>
    <w:rsid w:val="1AB66F56"/>
    <w:rsid w:val="1B0C5560"/>
    <w:rsid w:val="1B254D80"/>
    <w:rsid w:val="1BF30C4D"/>
    <w:rsid w:val="1BFF0D60"/>
    <w:rsid w:val="1D3E4AB4"/>
    <w:rsid w:val="1D915108"/>
    <w:rsid w:val="1DB56905"/>
    <w:rsid w:val="1DBC0DFB"/>
    <w:rsid w:val="1DCB1349"/>
    <w:rsid w:val="1DF1407C"/>
    <w:rsid w:val="1F360E88"/>
    <w:rsid w:val="1F374D1F"/>
    <w:rsid w:val="20385244"/>
    <w:rsid w:val="2059673D"/>
    <w:rsid w:val="20F70804"/>
    <w:rsid w:val="21AB480F"/>
    <w:rsid w:val="21C20757"/>
    <w:rsid w:val="22AF517A"/>
    <w:rsid w:val="239F6B5C"/>
    <w:rsid w:val="242D545D"/>
    <w:rsid w:val="25473008"/>
    <w:rsid w:val="259C7F06"/>
    <w:rsid w:val="261D07E2"/>
    <w:rsid w:val="2682564A"/>
    <w:rsid w:val="271829BD"/>
    <w:rsid w:val="27687A14"/>
    <w:rsid w:val="280359D3"/>
    <w:rsid w:val="280B2A12"/>
    <w:rsid w:val="280D47DD"/>
    <w:rsid w:val="28456613"/>
    <w:rsid w:val="28FB7F75"/>
    <w:rsid w:val="2A0330FD"/>
    <w:rsid w:val="2A3A75DF"/>
    <w:rsid w:val="2AD51FD9"/>
    <w:rsid w:val="2AE13FED"/>
    <w:rsid w:val="2B0A7AEE"/>
    <w:rsid w:val="2B114465"/>
    <w:rsid w:val="2B1A6F5B"/>
    <w:rsid w:val="2BD4136D"/>
    <w:rsid w:val="2C4B3457"/>
    <w:rsid w:val="2CF42804"/>
    <w:rsid w:val="2D0816DC"/>
    <w:rsid w:val="2DA533AA"/>
    <w:rsid w:val="2DE556B3"/>
    <w:rsid w:val="2E4E636F"/>
    <w:rsid w:val="2E9312DD"/>
    <w:rsid w:val="2ECB2EFB"/>
    <w:rsid w:val="2F676B68"/>
    <w:rsid w:val="2FC81459"/>
    <w:rsid w:val="313A38CB"/>
    <w:rsid w:val="315F2CAD"/>
    <w:rsid w:val="3167607E"/>
    <w:rsid w:val="31CD1876"/>
    <w:rsid w:val="329630EE"/>
    <w:rsid w:val="32C1674C"/>
    <w:rsid w:val="32F67B50"/>
    <w:rsid w:val="34475CF3"/>
    <w:rsid w:val="34E34D0A"/>
    <w:rsid w:val="34F860CC"/>
    <w:rsid w:val="36637349"/>
    <w:rsid w:val="36B3225C"/>
    <w:rsid w:val="36E82169"/>
    <w:rsid w:val="36ED3E13"/>
    <w:rsid w:val="382B6A7D"/>
    <w:rsid w:val="389A62F1"/>
    <w:rsid w:val="38E250CA"/>
    <w:rsid w:val="399D2398"/>
    <w:rsid w:val="39BC591B"/>
    <w:rsid w:val="39BD67BD"/>
    <w:rsid w:val="3A0379ED"/>
    <w:rsid w:val="3A310466"/>
    <w:rsid w:val="3A5159CB"/>
    <w:rsid w:val="3A7448A1"/>
    <w:rsid w:val="3A963C3A"/>
    <w:rsid w:val="3AEB47C0"/>
    <w:rsid w:val="3B5E1355"/>
    <w:rsid w:val="3B7F77EE"/>
    <w:rsid w:val="3C3421C7"/>
    <w:rsid w:val="3CA5505F"/>
    <w:rsid w:val="3D357D33"/>
    <w:rsid w:val="3DE354A3"/>
    <w:rsid w:val="3E5C2398"/>
    <w:rsid w:val="3ED734C8"/>
    <w:rsid w:val="3F6726E7"/>
    <w:rsid w:val="3F8C2E14"/>
    <w:rsid w:val="3FF2428E"/>
    <w:rsid w:val="3FF47673"/>
    <w:rsid w:val="403F6A70"/>
    <w:rsid w:val="40BA3542"/>
    <w:rsid w:val="41161891"/>
    <w:rsid w:val="42222020"/>
    <w:rsid w:val="426776B0"/>
    <w:rsid w:val="428D5DA0"/>
    <w:rsid w:val="429B77C1"/>
    <w:rsid w:val="43806BEB"/>
    <w:rsid w:val="43E617DB"/>
    <w:rsid w:val="43FE3F0B"/>
    <w:rsid w:val="442507E9"/>
    <w:rsid w:val="455122FC"/>
    <w:rsid w:val="45962CED"/>
    <w:rsid w:val="45B079CB"/>
    <w:rsid w:val="467F2EAD"/>
    <w:rsid w:val="46BE4980"/>
    <w:rsid w:val="472868E3"/>
    <w:rsid w:val="475C1748"/>
    <w:rsid w:val="481D1D8F"/>
    <w:rsid w:val="485F02B6"/>
    <w:rsid w:val="48BA2D48"/>
    <w:rsid w:val="49283F1F"/>
    <w:rsid w:val="49466E13"/>
    <w:rsid w:val="4A3D242F"/>
    <w:rsid w:val="4A72519D"/>
    <w:rsid w:val="4AA72EDD"/>
    <w:rsid w:val="4B3317B5"/>
    <w:rsid w:val="4C004751"/>
    <w:rsid w:val="4C6F5F85"/>
    <w:rsid w:val="4E506FF6"/>
    <w:rsid w:val="4F407D4F"/>
    <w:rsid w:val="4FA03DDD"/>
    <w:rsid w:val="4FEC16FF"/>
    <w:rsid w:val="50305EF2"/>
    <w:rsid w:val="50334B16"/>
    <w:rsid w:val="504639B8"/>
    <w:rsid w:val="504D06E2"/>
    <w:rsid w:val="514B2ECB"/>
    <w:rsid w:val="51A03F61"/>
    <w:rsid w:val="51BB4AD3"/>
    <w:rsid w:val="53112EE2"/>
    <w:rsid w:val="53540BD4"/>
    <w:rsid w:val="53626150"/>
    <w:rsid w:val="5481023F"/>
    <w:rsid w:val="56C803B6"/>
    <w:rsid w:val="56E66BA4"/>
    <w:rsid w:val="57600E01"/>
    <w:rsid w:val="590B2579"/>
    <w:rsid w:val="595F6584"/>
    <w:rsid w:val="59E723F5"/>
    <w:rsid w:val="5A4D2B73"/>
    <w:rsid w:val="5A796600"/>
    <w:rsid w:val="5B551FD2"/>
    <w:rsid w:val="5BEF1C87"/>
    <w:rsid w:val="5C234F66"/>
    <w:rsid w:val="5C335AB8"/>
    <w:rsid w:val="5D153410"/>
    <w:rsid w:val="5D223AB3"/>
    <w:rsid w:val="5DBB3055"/>
    <w:rsid w:val="5EF21049"/>
    <w:rsid w:val="5EFF0A11"/>
    <w:rsid w:val="5F9525E6"/>
    <w:rsid w:val="60675729"/>
    <w:rsid w:val="609B3C2C"/>
    <w:rsid w:val="60E311B1"/>
    <w:rsid w:val="60E8727C"/>
    <w:rsid w:val="60ED4AF7"/>
    <w:rsid w:val="61913609"/>
    <w:rsid w:val="61D615E2"/>
    <w:rsid w:val="61F25ACE"/>
    <w:rsid w:val="633468B2"/>
    <w:rsid w:val="636E50FA"/>
    <w:rsid w:val="63840626"/>
    <w:rsid w:val="6422491F"/>
    <w:rsid w:val="64297E32"/>
    <w:rsid w:val="652016E1"/>
    <w:rsid w:val="65D92A9D"/>
    <w:rsid w:val="67D51ECD"/>
    <w:rsid w:val="681B4D7A"/>
    <w:rsid w:val="68274CC2"/>
    <w:rsid w:val="6A8828AF"/>
    <w:rsid w:val="6B6F2D5F"/>
    <w:rsid w:val="6CCB5079"/>
    <w:rsid w:val="6CF26CB5"/>
    <w:rsid w:val="6CF36816"/>
    <w:rsid w:val="6D4A2279"/>
    <w:rsid w:val="6D6D683E"/>
    <w:rsid w:val="6D747CDF"/>
    <w:rsid w:val="6DEF563A"/>
    <w:rsid w:val="6E346B9D"/>
    <w:rsid w:val="6E531FC2"/>
    <w:rsid w:val="6F3E0F87"/>
    <w:rsid w:val="6F4D1C4B"/>
    <w:rsid w:val="6F9C1952"/>
    <w:rsid w:val="6FCB76EF"/>
    <w:rsid w:val="702E23C7"/>
    <w:rsid w:val="70692D82"/>
    <w:rsid w:val="71AA2A5E"/>
    <w:rsid w:val="71CF7BDA"/>
    <w:rsid w:val="72620D6C"/>
    <w:rsid w:val="727C6711"/>
    <w:rsid w:val="736021F3"/>
    <w:rsid w:val="74904690"/>
    <w:rsid w:val="74D94A87"/>
    <w:rsid w:val="751176A7"/>
    <w:rsid w:val="75B43794"/>
    <w:rsid w:val="75E0144C"/>
    <w:rsid w:val="76353BC2"/>
    <w:rsid w:val="767E1BCE"/>
    <w:rsid w:val="76B172D5"/>
    <w:rsid w:val="76E934EC"/>
    <w:rsid w:val="778D6400"/>
    <w:rsid w:val="781F6DFC"/>
    <w:rsid w:val="786C4AC3"/>
    <w:rsid w:val="78823E67"/>
    <w:rsid w:val="78D82AD0"/>
    <w:rsid w:val="78F05BB8"/>
    <w:rsid w:val="791C1611"/>
    <w:rsid w:val="79927E6B"/>
    <w:rsid w:val="79A25264"/>
    <w:rsid w:val="79FD174E"/>
    <w:rsid w:val="7A067586"/>
    <w:rsid w:val="7A5E63D5"/>
    <w:rsid w:val="7ACA6278"/>
    <w:rsid w:val="7AF379C5"/>
    <w:rsid w:val="7B3515A8"/>
    <w:rsid w:val="7B5E78C4"/>
    <w:rsid w:val="7B805545"/>
    <w:rsid w:val="7C007CE2"/>
    <w:rsid w:val="7C0C5586"/>
    <w:rsid w:val="7CC16DAB"/>
    <w:rsid w:val="7D103E2D"/>
    <w:rsid w:val="7D210962"/>
    <w:rsid w:val="7D685ABC"/>
    <w:rsid w:val="7D8F31B0"/>
    <w:rsid w:val="7DA04C05"/>
    <w:rsid w:val="7E020C93"/>
    <w:rsid w:val="7E264DCB"/>
    <w:rsid w:val="7E271C1D"/>
    <w:rsid w:val="7E932640"/>
    <w:rsid w:val="7EF43207"/>
    <w:rsid w:val="7F824B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0"/>
    <w:pPr>
      <w:keepNext/>
      <w:keepLines/>
      <w:spacing w:before="340" w:after="330"/>
      <w:jc w:val="center"/>
      <w:outlineLvl w:val="0"/>
    </w:pPr>
    <w:rPr>
      <w:b/>
      <w:bCs/>
      <w:kern w:val="44"/>
      <w:sz w:val="36"/>
      <w:szCs w:val="44"/>
      <w:lang w:val="zh-CN"/>
    </w:rPr>
  </w:style>
  <w:style w:type="paragraph" w:styleId="4">
    <w:name w:val="heading 2"/>
    <w:basedOn w:val="1"/>
    <w:next w:val="1"/>
    <w:link w:val="36"/>
    <w:qFormat/>
    <w:uiPriority w:val="0"/>
    <w:pPr>
      <w:keepNext/>
      <w:keepLines/>
      <w:spacing w:before="260" w:after="260" w:line="416" w:lineRule="auto"/>
      <w:outlineLvl w:val="1"/>
    </w:pPr>
    <w:rPr>
      <w:rFonts w:ascii="Arial" w:hAnsi="Arial"/>
      <w:b/>
      <w:bCs/>
      <w:sz w:val="28"/>
      <w:szCs w:val="32"/>
      <w:lang w:val="zh-CN"/>
    </w:rPr>
  </w:style>
  <w:style w:type="paragraph" w:styleId="5">
    <w:name w:val="heading 3"/>
    <w:basedOn w:val="1"/>
    <w:next w:val="1"/>
    <w:link w:val="41"/>
    <w:qFormat/>
    <w:uiPriority w:val="0"/>
    <w:pPr>
      <w:keepNext/>
      <w:keepLines/>
      <w:spacing w:before="260" w:after="260" w:line="416" w:lineRule="auto"/>
      <w:outlineLvl w:val="2"/>
    </w:pPr>
    <w:rPr>
      <w:b/>
      <w:bCs/>
      <w:sz w:val="32"/>
      <w:szCs w:val="32"/>
      <w:lang w:val="zh-CN"/>
    </w:rPr>
  </w:style>
  <w:style w:type="paragraph" w:styleId="6">
    <w:name w:val="heading 4"/>
    <w:basedOn w:val="1"/>
    <w:next w:val="1"/>
    <w:link w:val="5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4"/>
    <w:qFormat/>
    <w:uiPriority w:val="0"/>
    <w:pPr>
      <w:spacing w:after="120"/>
    </w:pPr>
    <w:rPr>
      <w:lang w:val="zh-CN"/>
    </w:rPr>
  </w:style>
  <w:style w:type="paragraph" w:styleId="7">
    <w:name w:val="Normal Indent"/>
    <w:basedOn w:val="1"/>
    <w:link w:val="57"/>
    <w:qFormat/>
    <w:uiPriority w:val="0"/>
    <w:pPr>
      <w:adjustRightInd w:val="0"/>
      <w:spacing w:line="360" w:lineRule="atLeast"/>
      <w:ind w:firstLine="420"/>
      <w:textAlignment w:val="baseline"/>
    </w:pPr>
    <w:rPr>
      <w:szCs w:val="20"/>
    </w:rPr>
  </w:style>
  <w:style w:type="paragraph" w:styleId="8">
    <w:name w:val="Document Map"/>
    <w:basedOn w:val="1"/>
    <w:next w:val="1"/>
    <w:semiHidden/>
    <w:qFormat/>
    <w:uiPriority w:val="99"/>
    <w:pPr>
      <w:shd w:val="clear" w:color="auto" w:fill="000080"/>
    </w:pPr>
    <w:rPr>
      <w:kern w:val="0"/>
      <w:sz w:val="2"/>
    </w:rPr>
  </w:style>
  <w:style w:type="paragraph" w:styleId="9">
    <w:name w:val="annotation text"/>
    <w:basedOn w:val="1"/>
    <w:link w:val="52"/>
    <w:unhideWhenUsed/>
    <w:qFormat/>
    <w:uiPriority w:val="0"/>
    <w:pPr>
      <w:jc w:val="left"/>
    </w:pPr>
  </w:style>
  <w:style w:type="paragraph" w:styleId="10">
    <w:name w:val="Body Text Indent"/>
    <w:basedOn w:val="1"/>
    <w:link w:val="42"/>
    <w:qFormat/>
    <w:uiPriority w:val="0"/>
    <w:pPr>
      <w:spacing w:after="120"/>
      <w:ind w:left="420" w:leftChars="200"/>
    </w:pPr>
    <w:rPr>
      <w:lang w:val="zh-CN"/>
    </w:rPr>
  </w:style>
  <w:style w:type="paragraph" w:styleId="11">
    <w:name w:val="toc 3"/>
    <w:basedOn w:val="1"/>
    <w:next w:val="1"/>
    <w:qFormat/>
    <w:uiPriority w:val="0"/>
    <w:pPr>
      <w:widowControl/>
      <w:spacing w:after="100" w:line="259" w:lineRule="auto"/>
      <w:ind w:left="440"/>
      <w:jc w:val="left"/>
    </w:pPr>
    <w:rPr>
      <w:rFonts w:ascii="等线" w:hAnsi="等线" w:eastAsia="等线"/>
      <w:kern w:val="0"/>
      <w:sz w:val="22"/>
      <w:szCs w:val="22"/>
    </w:rPr>
  </w:style>
  <w:style w:type="paragraph" w:styleId="12">
    <w:name w:val="Plain Text"/>
    <w:basedOn w:val="1"/>
    <w:link w:val="38"/>
    <w:qFormat/>
    <w:uiPriority w:val="0"/>
    <w:rPr>
      <w:rFonts w:ascii="宋体" w:hAnsi="Courier New"/>
      <w:szCs w:val="21"/>
    </w:rPr>
  </w:style>
  <w:style w:type="paragraph" w:styleId="13">
    <w:name w:val="Date"/>
    <w:basedOn w:val="1"/>
    <w:next w:val="1"/>
    <w:link w:val="45"/>
    <w:qFormat/>
    <w:uiPriority w:val="0"/>
    <w:pPr>
      <w:autoSpaceDE w:val="0"/>
      <w:autoSpaceDN w:val="0"/>
      <w:adjustRightInd w:val="0"/>
      <w:spacing w:line="312" w:lineRule="atLeast"/>
      <w:textAlignment w:val="baseline"/>
    </w:pPr>
    <w:rPr>
      <w:kern w:val="0"/>
      <w:sz w:val="32"/>
      <w:szCs w:val="32"/>
      <w:lang w:val="zh-CN"/>
    </w:rPr>
  </w:style>
  <w:style w:type="paragraph" w:styleId="14">
    <w:name w:val="Body Text Indent 2"/>
    <w:basedOn w:val="1"/>
    <w:link w:val="37"/>
    <w:qFormat/>
    <w:uiPriority w:val="0"/>
    <w:pPr>
      <w:spacing w:after="120" w:line="480" w:lineRule="auto"/>
      <w:ind w:left="420" w:leftChars="200"/>
    </w:pPr>
    <w:rPr>
      <w:lang w:val="zh-CN"/>
    </w:rPr>
  </w:style>
  <w:style w:type="paragraph" w:styleId="15">
    <w:name w:val="Balloon Text"/>
    <w:basedOn w:val="1"/>
    <w:qFormat/>
    <w:uiPriority w:val="0"/>
    <w:rPr>
      <w:sz w:val="18"/>
      <w:szCs w:val="18"/>
    </w:rPr>
  </w:style>
  <w:style w:type="paragraph" w:styleId="16">
    <w:name w:val="footer"/>
    <w:basedOn w:val="1"/>
    <w:link w:val="32"/>
    <w:qFormat/>
    <w:uiPriority w:val="99"/>
    <w:pPr>
      <w:tabs>
        <w:tab w:val="center" w:pos="4153"/>
        <w:tab w:val="right" w:pos="8306"/>
      </w:tabs>
      <w:snapToGrid w:val="0"/>
      <w:jc w:val="left"/>
    </w:pPr>
    <w:rPr>
      <w:sz w:val="18"/>
      <w:szCs w:val="18"/>
      <w:lang w:val="zh-CN"/>
    </w:rPr>
  </w:style>
  <w:style w:type="paragraph" w:styleId="17">
    <w:name w:val="header"/>
    <w:basedOn w:val="1"/>
    <w:link w:val="31"/>
    <w:qFormat/>
    <w:uiPriority w:val="99"/>
    <w:pPr>
      <w:pBdr>
        <w:bottom w:val="single" w:color="auto" w:sz="6" w:space="1"/>
      </w:pBdr>
      <w:tabs>
        <w:tab w:val="center" w:pos="4153"/>
        <w:tab w:val="right" w:pos="8306"/>
      </w:tabs>
      <w:snapToGrid w:val="0"/>
      <w:jc w:val="center"/>
    </w:pPr>
    <w:rPr>
      <w:sz w:val="18"/>
      <w:szCs w:val="18"/>
      <w:lang w:val="zh-CN"/>
    </w:rPr>
  </w:style>
  <w:style w:type="paragraph" w:styleId="18">
    <w:name w:val="toc 1"/>
    <w:basedOn w:val="1"/>
    <w:next w:val="1"/>
    <w:qFormat/>
    <w:uiPriority w:val="0"/>
    <w:pPr>
      <w:tabs>
        <w:tab w:val="right" w:leader="dot" w:pos="8296"/>
      </w:tabs>
      <w:spacing w:before="120" w:after="120" w:line="400" w:lineRule="exact"/>
      <w:ind w:firstLine="422" w:firstLineChars="200"/>
      <w:jc w:val="left"/>
    </w:pPr>
  </w:style>
  <w:style w:type="paragraph" w:styleId="19">
    <w:name w:val="toc 2"/>
    <w:basedOn w:val="1"/>
    <w:next w:val="1"/>
    <w:qFormat/>
    <w:uiPriority w:val="0"/>
    <w:pPr>
      <w:widowControl/>
      <w:spacing w:after="100" w:line="259" w:lineRule="auto"/>
      <w:ind w:left="220"/>
      <w:jc w:val="left"/>
    </w:pPr>
    <w:rPr>
      <w:rFonts w:ascii="等线" w:hAnsi="等线" w:eastAsia="等线"/>
      <w:kern w:val="0"/>
      <w:sz w:val="22"/>
      <w:szCs w:val="22"/>
    </w:rPr>
  </w:style>
  <w:style w:type="paragraph" w:styleId="20">
    <w:name w:val="Normal (Web)"/>
    <w:basedOn w:val="1"/>
    <w:qFormat/>
    <w:uiPriority w:val="0"/>
    <w:pPr>
      <w:spacing w:before="100" w:beforeAutospacing="1" w:after="100" w:afterAutospacing="1"/>
      <w:jc w:val="left"/>
    </w:pPr>
    <w:rPr>
      <w:rFonts w:ascii="等线" w:hAnsi="等线" w:eastAsia="等线" w:cs="黑体"/>
      <w:kern w:val="0"/>
      <w:sz w:val="24"/>
      <w:szCs w:val="22"/>
    </w:rPr>
  </w:style>
  <w:style w:type="paragraph" w:styleId="21">
    <w:name w:val="Title"/>
    <w:basedOn w:val="1"/>
    <w:next w:val="1"/>
    <w:link w:val="50"/>
    <w:qFormat/>
    <w:uiPriority w:val="0"/>
    <w:pPr>
      <w:spacing w:before="240" w:after="60"/>
      <w:jc w:val="center"/>
      <w:outlineLvl w:val="0"/>
    </w:pPr>
    <w:rPr>
      <w:rFonts w:ascii="等线 Light" w:hAnsi="等线 Light"/>
      <w:b/>
      <w:bCs/>
      <w:sz w:val="36"/>
      <w:szCs w:val="32"/>
      <w:lang w:val="zh-CN"/>
    </w:rPr>
  </w:style>
  <w:style w:type="paragraph" w:styleId="22">
    <w:name w:val="annotation subject"/>
    <w:basedOn w:val="9"/>
    <w:next w:val="9"/>
    <w:link w:val="54"/>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rFonts w:ascii="Times New Roman" w:hAnsi="Times New Roman" w:eastAsia="宋体" w:cs="Times New Roman"/>
      <w:b/>
      <w:bCs/>
    </w:rPr>
  </w:style>
  <w:style w:type="character" w:styleId="27">
    <w:name w:val="page number"/>
    <w:basedOn w:val="25"/>
    <w:qFormat/>
    <w:uiPriority w:val="99"/>
    <w:rPr>
      <w:rFonts w:ascii="Times New Roman" w:hAnsi="Times New Roman" w:eastAsia="宋体" w:cs="Times New Roman"/>
    </w:rPr>
  </w:style>
  <w:style w:type="character" w:styleId="28">
    <w:name w:val="Hyperlink"/>
    <w:qFormat/>
    <w:uiPriority w:val="0"/>
    <w:rPr>
      <w:rFonts w:ascii="Times New Roman" w:hAnsi="Times New Roman" w:eastAsia="宋体" w:cs="Times New Roman"/>
      <w:color w:val="0000FF"/>
      <w:u w:val="single"/>
    </w:rPr>
  </w:style>
  <w:style w:type="character" w:styleId="29">
    <w:name w:val="annotation reference"/>
    <w:basedOn w:val="25"/>
    <w:unhideWhenUsed/>
    <w:qFormat/>
    <w:uiPriority w:val="99"/>
    <w:rPr>
      <w:sz w:val="21"/>
      <w:szCs w:val="21"/>
    </w:rPr>
  </w:style>
  <w:style w:type="paragraph" w:customStyle="1" w:styleId="30">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31">
    <w:name w:val="页眉 字符"/>
    <w:link w:val="17"/>
    <w:qFormat/>
    <w:uiPriority w:val="99"/>
    <w:rPr>
      <w:rFonts w:ascii="Times New Roman" w:hAnsi="Times New Roman" w:eastAsia="宋体" w:cs="Times New Roman"/>
      <w:kern w:val="2"/>
      <w:sz w:val="18"/>
      <w:szCs w:val="18"/>
    </w:rPr>
  </w:style>
  <w:style w:type="character" w:customStyle="1" w:styleId="32">
    <w:name w:val="页脚 字符"/>
    <w:link w:val="16"/>
    <w:qFormat/>
    <w:uiPriority w:val="99"/>
    <w:rPr>
      <w:rFonts w:ascii="Times New Roman" w:hAnsi="Times New Roman" w:eastAsia="宋体" w:cs="Times New Roman"/>
      <w:kern w:val="2"/>
      <w:sz w:val="18"/>
      <w:szCs w:val="18"/>
    </w:rPr>
  </w:style>
  <w:style w:type="character" w:customStyle="1" w:styleId="33">
    <w:name w:val="标题 1 字符"/>
    <w:link w:val="3"/>
    <w:qFormat/>
    <w:uiPriority w:val="0"/>
    <w:rPr>
      <w:rFonts w:ascii="Times New Roman" w:hAnsi="Times New Roman" w:eastAsia="宋体" w:cs="Times New Roman"/>
      <w:b/>
      <w:bCs/>
      <w:kern w:val="44"/>
      <w:sz w:val="36"/>
      <w:szCs w:val="44"/>
    </w:rPr>
  </w:style>
  <w:style w:type="character" w:customStyle="1" w:styleId="34">
    <w:name w:val="正文文本 字符"/>
    <w:link w:val="2"/>
    <w:qFormat/>
    <w:uiPriority w:val="0"/>
    <w:rPr>
      <w:rFonts w:ascii="Times New Roman" w:hAnsi="Times New Roman" w:eastAsia="宋体" w:cs="Times New Roman"/>
      <w:kern w:val="2"/>
      <w:sz w:val="21"/>
      <w:szCs w:val="24"/>
    </w:rPr>
  </w:style>
  <w:style w:type="paragraph" w:customStyle="1" w:styleId="35">
    <w:name w:val="1"/>
    <w:basedOn w:val="1"/>
    <w:next w:val="2"/>
    <w:link w:val="62"/>
    <w:qFormat/>
    <w:uiPriority w:val="99"/>
    <w:pPr>
      <w:spacing w:line="360" w:lineRule="auto"/>
    </w:pPr>
    <w:rPr>
      <w:sz w:val="24"/>
    </w:rPr>
  </w:style>
  <w:style w:type="character" w:customStyle="1" w:styleId="36">
    <w:name w:val="标题 2 字符"/>
    <w:link w:val="4"/>
    <w:qFormat/>
    <w:uiPriority w:val="99"/>
    <w:rPr>
      <w:rFonts w:ascii="Arial" w:hAnsi="Arial" w:eastAsia="宋体" w:cs="Times New Roman"/>
      <w:b/>
      <w:bCs/>
      <w:kern w:val="2"/>
      <w:sz w:val="28"/>
      <w:szCs w:val="32"/>
    </w:rPr>
  </w:style>
  <w:style w:type="character" w:customStyle="1" w:styleId="37">
    <w:name w:val="正文文本缩进 2 字符"/>
    <w:link w:val="14"/>
    <w:qFormat/>
    <w:uiPriority w:val="0"/>
    <w:rPr>
      <w:rFonts w:ascii="Times New Roman" w:hAnsi="Times New Roman" w:eastAsia="宋体" w:cs="Times New Roman"/>
      <w:kern w:val="2"/>
      <w:sz w:val="21"/>
      <w:szCs w:val="24"/>
    </w:rPr>
  </w:style>
  <w:style w:type="character" w:customStyle="1" w:styleId="38">
    <w:name w:val="纯文本 字符"/>
    <w:link w:val="12"/>
    <w:qFormat/>
    <w:uiPriority w:val="0"/>
    <w:rPr>
      <w:rFonts w:ascii="宋体" w:hAnsi="Courier New" w:eastAsia="宋体" w:cs="Times New Roman"/>
      <w:kern w:val="2"/>
      <w:sz w:val="21"/>
      <w:szCs w:val="21"/>
      <w:lang w:val="en-US" w:eastAsia="zh-CN" w:bidi="ar-SA"/>
    </w:rPr>
  </w:style>
  <w:style w:type="paragraph" w:customStyle="1" w:styleId="3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0">
    <w:name w:val="2"/>
    <w:basedOn w:val="1"/>
    <w:qFormat/>
    <w:uiPriority w:val="0"/>
    <w:pPr>
      <w:ind w:firstLine="480" w:firstLineChars="200"/>
    </w:pPr>
    <w:rPr>
      <w:rFonts w:ascii="黑体" w:hAnsi="宋体" w:eastAsia="黑体"/>
      <w:color w:val="000000"/>
    </w:rPr>
  </w:style>
  <w:style w:type="character" w:customStyle="1" w:styleId="41">
    <w:name w:val="标题 3 字符"/>
    <w:link w:val="5"/>
    <w:qFormat/>
    <w:uiPriority w:val="0"/>
    <w:rPr>
      <w:rFonts w:ascii="Times New Roman" w:hAnsi="Times New Roman" w:eastAsia="宋体" w:cs="Times New Roman"/>
      <w:b/>
      <w:bCs/>
      <w:kern w:val="2"/>
      <w:sz w:val="32"/>
      <w:szCs w:val="32"/>
    </w:rPr>
  </w:style>
  <w:style w:type="character" w:customStyle="1" w:styleId="42">
    <w:name w:val="正文文本缩进 字符"/>
    <w:link w:val="10"/>
    <w:qFormat/>
    <w:uiPriority w:val="0"/>
    <w:rPr>
      <w:rFonts w:ascii="Times New Roman" w:hAnsi="Times New Roman" w:eastAsia="宋体" w:cs="Times New Roman"/>
      <w:kern w:val="2"/>
      <w:sz w:val="21"/>
      <w:szCs w:val="24"/>
    </w:rPr>
  </w:style>
  <w:style w:type="character" w:customStyle="1" w:styleId="43">
    <w:name w:val="16"/>
    <w:qFormat/>
    <w:uiPriority w:val="0"/>
    <w:rPr>
      <w:rFonts w:hint="default" w:ascii="Times New Roman" w:hAnsi="Times New Roman" w:eastAsia="宋体" w:cs="Times New Roman"/>
      <w:sz w:val="21"/>
      <w:szCs w:val="21"/>
    </w:rPr>
  </w:style>
  <w:style w:type="character" w:customStyle="1" w:styleId="44">
    <w:name w:val="15"/>
    <w:qFormat/>
    <w:uiPriority w:val="0"/>
    <w:rPr>
      <w:rFonts w:hint="default" w:ascii="Times New Roman" w:hAnsi="Times New Roman" w:eastAsia="宋体" w:cs="Times New Roman"/>
      <w:color w:val="0000FF"/>
      <w:u w:val="single"/>
    </w:rPr>
  </w:style>
  <w:style w:type="character" w:customStyle="1" w:styleId="45">
    <w:name w:val="日期 字符"/>
    <w:link w:val="13"/>
    <w:qFormat/>
    <w:uiPriority w:val="0"/>
    <w:rPr>
      <w:rFonts w:ascii="Times New Roman" w:hAnsi="Times New Roman" w:eastAsia="宋体" w:cs="Times New Roman"/>
      <w:sz w:val="32"/>
      <w:szCs w:val="32"/>
    </w:rPr>
  </w:style>
  <w:style w:type="paragraph" w:customStyle="1" w:styleId="46">
    <w:name w:val="Char Char Char Char Char Char Char Char Char Char Char Char Char"/>
    <w:basedOn w:val="1"/>
    <w:qFormat/>
    <w:uiPriority w:val="0"/>
    <w:pPr>
      <w:widowControl/>
      <w:autoSpaceDE w:val="0"/>
      <w:autoSpaceDN w:val="0"/>
      <w:snapToGrid w:val="0"/>
      <w:spacing w:after="160" w:line="240" w:lineRule="exact"/>
      <w:ind w:firstLine="624"/>
      <w:jc w:val="left"/>
    </w:pPr>
    <w:rPr>
      <w:rFonts w:ascii="Arial" w:hAnsi="Arial" w:eastAsia="Times New Roman" w:cs="Verdana"/>
      <w:b/>
      <w:snapToGrid w:val="0"/>
      <w:kern w:val="0"/>
      <w:sz w:val="24"/>
      <w:szCs w:val="20"/>
      <w:lang w:eastAsia="en-US"/>
    </w:rPr>
  </w:style>
  <w:style w:type="paragraph" w:customStyle="1" w:styleId="47">
    <w:name w:val="1 Char Char Char Char"/>
    <w:basedOn w:val="1"/>
    <w:qFormat/>
    <w:uiPriority w:val="0"/>
    <w:pPr>
      <w:spacing w:line="360" w:lineRule="auto"/>
      <w:ind w:firstLine="200" w:firstLineChars="200"/>
    </w:pPr>
    <w:rPr>
      <w:rFonts w:ascii="宋体" w:hAnsi="宋体" w:cs="宋体"/>
      <w:sz w:val="24"/>
    </w:rPr>
  </w:style>
  <w:style w:type="paragraph" w:customStyle="1" w:styleId="48">
    <w:name w:val="_Style 3"/>
    <w:basedOn w:val="1"/>
    <w:qFormat/>
    <w:uiPriority w:val="0"/>
    <w:rPr>
      <w:szCs w:val="21"/>
    </w:rPr>
  </w:style>
  <w:style w:type="paragraph" w:customStyle="1" w:styleId="49">
    <w:name w:val="TOC 标题1"/>
    <w:basedOn w:val="3"/>
    <w:next w:val="1"/>
    <w:qFormat/>
    <w:uiPriority w:val="0"/>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50">
    <w:name w:val="标题 字符"/>
    <w:link w:val="21"/>
    <w:qFormat/>
    <w:uiPriority w:val="0"/>
    <w:rPr>
      <w:rFonts w:ascii="等线 Light" w:hAnsi="等线 Light" w:eastAsia="宋体" w:cs="Times New Roman"/>
      <w:b/>
      <w:bCs/>
      <w:kern w:val="2"/>
      <w:sz w:val="36"/>
      <w:szCs w:val="32"/>
    </w:rPr>
  </w:style>
  <w:style w:type="character" w:customStyle="1" w:styleId="51">
    <w:name w:val="正文文本缩进 2 Char"/>
    <w:qFormat/>
    <w:uiPriority w:val="0"/>
    <w:rPr>
      <w:rFonts w:ascii="Times New Roman" w:hAnsi="Times New Roman" w:eastAsia="宋体" w:cs="Times New Roman"/>
      <w:kern w:val="2"/>
      <w:sz w:val="21"/>
      <w:szCs w:val="24"/>
    </w:rPr>
  </w:style>
  <w:style w:type="character" w:customStyle="1" w:styleId="52">
    <w:name w:val="批注文字 字符"/>
    <w:basedOn w:val="25"/>
    <w:link w:val="9"/>
    <w:qFormat/>
    <w:uiPriority w:val="0"/>
    <w:rPr>
      <w:kern w:val="2"/>
      <w:sz w:val="21"/>
      <w:szCs w:val="24"/>
    </w:rPr>
  </w:style>
  <w:style w:type="paragraph" w:styleId="53">
    <w:name w:val="List Paragraph"/>
    <w:basedOn w:val="1"/>
    <w:unhideWhenUsed/>
    <w:qFormat/>
    <w:uiPriority w:val="99"/>
    <w:pPr>
      <w:ind w:firstLine="420" w:firstLineChars="200"/>
    </w:pPr>
  </w:style>
  <w:style w:type="character" w:customStyle="1" w:styleId="54">
    <w:name w:val="批注主题 字符"/>
    <w:basedOn w:val="52"/>
    <w:link w:val="22"/>
    <w:semiHidden/>
    <w:qFormat/>
    <w:uiPriority w:val="99"/>
    <w:rPr>
      <w:rFonts w:ascii="Times New Roman" w:hAnsi="Times New Roman"/>
      <w:b/>
      <w:bCs/>
      <w:kern w:val="2"/>
      <w:sz w:val="21"/>
      <w:szCs w:val="24"/>
    </w:rPr>
  </w:style>
  <w:style w:type="character" w:customStyle="1" w:styleId="55">
    <w:name w:val="批注文字 Char1"/>
    <w:semiHidden/>
    <w:qFormat/>
    <w:locked/>
    <w:uiPriority w:val="99"/>
    <w:rPr>
      <w:rFonts w:ascii="Times New Roman" w:hAnsi="Times New Roman"/>
      <w:kern w:val="2"/>
      <w:sz w:val="21"/>
    </w:rPr>
  </w:style>
  <w:style w:type="character" w:customStyle="1" w:styleId="56">
    <w:name w:val="标题 4 字符"/>
    <w:basedOn w:val="25"/>
    <w:link w:val="6"/>
    <w:semiHidden/>
    <w:qFormat/>
    <w:uiPriority w:val="9"/>
    <w:rPr>
      <w:rFonts w:asciiTheme="majorHAnsi" w:hAnsiTheme="majorHAnsi" w:eastAsiaTheme="majorEastAsia" w:cstheme="majorBidi"/>
      <w:b/>
      <w:bCs/>
      <w:kern w:val="2"/>
      <w:sz w:val="28"/>
      <w:szCs w:val="28"/>
    </w:rPr>
  </w:style>
  <w:style w:type="character" w:customStyle="1" w:styleId="57">
    <w:name w:val="正文缩进 字符"/>
    <w:link w:val="7"/>
    <w:qFormat/>
    <w:uiPriority w:val="0"/>
    <w:rPr>
      <w:rFonts w:ascii="Times New Roman" w:hAnsi="Times New Roman"/>
      <w:kern w:val="2"/>
      <w:sz w:val="21"/>
    </w:rPr>
  </w:style>
  <w:style w:type="paragraph" w:customStyle="1" w:styleId="5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59">
    <w:name w:val="未处理的提及1"/>
    <w:basedOn w:val="25"/>
    <w:semiHidden/>
    <w:unhideWhenUsed/>
    <w:qFormat/>
    <w:uiPriority w:val="99"/>
    <w:rPr>
      <w:color w:val="605E5C"/>
      <w:shd w:val="clear" w:color="auto" w:fill="E1DFDD"/>
    </w:rPr>
  </w:style>
  <w:style w:type="character" w:customStyle="1" w:styleId="60">
    <w:name w:val="font11"/>
    <w:qFormat/>
    <w:uiPriority w:val="0"/>
    <w:rPr>
      <w:rFonts w:hint="eastAsia" w:ascii="仿宋" w:hAnsi="仿宋" w:eastAsia="仿宋" w:cs="仿宋"/>
      <w:color w:val="FF0000"/>
      <w:sz w:val="20"/>
      <w:szCs w:val="20"/>
      <w:u w:val="none"/>
      <w:lang w:val="en-US" w:eastAsia="zh-CN" w:bidi="ar-SA"/>
    </w:rPr>
  </w:style>
  <w:style w:type="paragraph" w:customStyle="1" w:styleId="61">
    <w:name w:val="普通文字"/>
    <w:basedOn w:val="1"/>
    <w:next w:val="1"/>
    <w:qFormat/>
    <w:uiPriority w:val="99"/>
    <w:rPr>
      <w:rFonts w:ascii="宋体"/>
      <w:kern w:val="0"/>
    </w:rPr>
  </w:style>
  <w:style w:type="character" w:customStyle="1" w:styleId="62">
    <w:name w:val="1 Char"/>
    <w:link w:val="35"/>
    <w:qFormat/>
    <w:locked/>
    <w:uiPriority w:val="99"/>
    <w:rPr>
      <w:rFonts w:ascii="Times New Roman" w:hAnsi="Times New Roman"/>
      <w:kern w:val="2"/>
      <w:sz w:val="24"/>
      <w:szCs w:val="24"/>
    </w:rPr>
  </w:style>
  <w:style w:type="paragraph" w:customStyle="1" w:styleId="6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64">
    <w:name w:val="cf01"/>
    <w:basedOn w:val="25"/>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30</Pages>
  <Words>7106</Words>
  <Characters>7430</Characters>
  <Lines>119</Lines>
  <Paragraphs>33</Paragraphs>
  <TotalTime>14</TotalTime>
  <ScaleCrop>false</ScaleCrop>
  <LinksUpToDate>false</LinksUpToDate>
  <CharactersWithSpaces>7591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2025-03-30T07:43:00Z</dcterms:created>
  <dc:creator>User</dc:creator>
  <cp:lastModifiedBy>小小yuna</cp:lastModifiedBy>
  <cp:lastPrinted>2023-08-10T01:03:00Z</cp:lastPrinted>
  <dcterms:modified xsi:type="dcterms:W3CDTF">2025-04-08T03:07:55Z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9C5ACA702E0B4D34BDC02DDA4F914C07_13</vt:lpwstr>
  </property>
  <property fmtid="{D5CDD505-2E9C-101B-9397-08002B2CF9AE}" pid="4" name="KSOTemplateDocerSaveRecord">
    <vt:lpwstr>eyJoZGlkIjoiNDhiYmQwYzM2NGU2NjBjYjI1YTVjNTAzNmNlOTgzYTEiLCJ1c2VySWQiOiI1MzkzMDA1NzAifQ==</vt:lpwstr>
  </property>
</Properties>
</file>