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9E" w:rsidRPr="00E050FC" w:rsidRDefault="00B7239E" w:rsidP="00B7239E">
      <w:pPr>
        <w:pStyle w:val="a5"/>
        <w:spacing w:line="600" w:lineRule="exact"/>
        <w:rPr>
          <w:rFonts w:ascii="Times New Roman" w:hint="eastAsia"/>
        </w:rPr>
      </w:pPr>
      <w:bookmarkStart w:id="0" w:name="_GoBack"/>
      <w:r>
        <w:rPr>
          <w:rFonts w:ascii="Times New Roman"/>
        </w:rPr>
        <w:t>2018</w:t>
      </w:r>
      <w:r>
        <w:rPr>
          <w:rFonts w:ascii="Times New Roman"/>
        </w:rPr>
        <w:t>年重点工作目标任务</w:t>
      </w:r>
      <w:r>
        <w:rPr>
          <w:rFonts w:ascii="Times New Roman" w:hint="eastAsia"/>
        </w:rPr>
        <w:t>计划</w:t>
      </w:r>
    </w:p>
    <w:bookmarkEnd w:id="0"/>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1.</w:t>
      </w:r>
      <w:r w:rsidRPr="00020C28">
        <w:rPr>
          <w:rFonts w:ascii="方正仿宋_GBK" w:eastAsia="方正仿宋_GBK" w:hAnsi="楷体" w:hint="eastAsia"/>
          <w:color w:val="000000" w:themeColor="text1"/>
          <w:szCs w:val="32"/>
        </w:rPr>
        <w:t>推进中央环境保护督察反馈问题整改工作，牵头开展263行动中的“治理挥发性有机物污染、治理环境隐患、提升生态保护水平、提升环境执法监管水平”专项行动。</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2.</w:t>
      </w:r>
      <w:r w:rsidRPr="00020C28">
        <w:rPr>
          <w:rFonts w:ascii="方正仿宋_GBK" w:eastAsia="方正仿宋_GBK" w:hAnsi="楷体" w:hint="eastAsia"/>
          <w:color w:val="000000" w:themeColor="text1"/>
          <w:szCs w:val="32"/>
        </w:rPr>
        <w:t>完成2018年生态文明建设和环境保护重点工作目标任务书中相关年度目标任务</w:t>
      </w:r>
      <w:r>
        <w:rPr>
          <w:rFonts w:ascii="方正仿宋_GBK" w:eastAsia="方正仿宋_GBK" w:hAnsi="楷体" w:hint="eastAsia"/>
          <w:color w:val="000000" w:themeColor="text1"/>
          <w:szCs w:val="32"/>
        </w:rPr>
        <w:t>，</w:t>
      </w:r>
      <w:r>
        <w:rPr>
          <w:rFonts w:ascii="方正仿宋_GBK" w:eastAsia="方正仿宋_GBK" w:hAnsi="楷体"/>
          <w:color w:val="000000" w:themeColor="text1"/>
          <w:szCs w:val="32"/>
        </w:rPr>
        <w:t>推进高质量发展考核指标</w:t>
      </w:r>
      <w:r w:rsidRPr="00020C28">
        <w:rPr>
          <w:rFonts w:ascii="方正仿宋_GBK" w:eastAsia="方正仿宋_GBK" w:hAnsi="楷体" w:hint="eastAsia"/>
          <w:color w:val="000000" w:themeColor="text1"/>
          <w:szCs w:val="32"/>
        </w:rPr>
        <w:t>。理顺全市各部门环保职责，督促各市（县）区出台《生态环境保护责任规定》,</w:t>
      </w:r>
      <w:r w:rsidRPr="00020C28">
        <w:rPr>
          <w:rFonts w:ascii="方正仿宋_GBK" w:eastAsia="方正仿宋_GBK" w:hint="eastAsia"/>
          <w:color w:val="000000" w:themeColor="text1"/>
        </w:rPr>
        <w:t xml:space="preserve"> </w:t>
      </w:r>
      <w:r w:rsidRPr="00020C28">
        <w:rPr>
          <w:rFonts w:ascii="方正仿宋_GBK" w:eastAsia="方正仿宋_GBK" w:hAnsi="楷体" w:hint="eastAsia"/>
          <w:color w:val="000000" w:themeColor="text1"/>
          <w:szCs w:val="32"/>
        </w:rPr>
        <w:t>修订生态文明建设考核细则，编制生态红线区域保护规划。</w:t>
      </w:r>
    </w:p>
    <w:p w:rsidR="00B7239E" w:rsidRPr="00020C28" w:rsidRDefault="00B7239E" w:rsidP="00B7239E">
      <w:pPr>
        <w:spacing w:line="600" w:lineRule="exact"/>
        <w:ind w:firstLine="640"/>
        <w:rPr>
          <w:rFonts w:ascii="方正仿宋_GBK" w:eastAsia="方正仿宋_GBK" w:hAnsi="楷体"/>
          <w:color w:val="000000" w:themeColor="text1"/>
          <w:szCs w:val="32"/>
        </w:rPr>
      </w:pPr>
      <w:r w:rsidRPr="00020C28">
        <w:rPr>
          <w:rFonts w:ascii="方正仿宋_GBK" w:eastAsia="方正仿宋_GBK" w:hAnsi="楷体" w:hint="eastAsia"/>
          <w:color w:val="000000" w:themeColor="text1"/>
          <w:szCs w:val="32"/>
        </w:rPr>
        <w:t>3.加强水污染防治，制定实施水污染防治工作年度计划，推进实施114个年度重点工程项目，推进生态环境部通报太湖治理问题74项整改措施的落实，定期报送河长制水质数据，确保完成省下达的年度优Ⅲ比例和劣Ⅴ比例目标任务。</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4.</w:t>
      </w:r>
      <w:r w:rsidRPr="00020C28">
        <w:rPr>
          <w:rFonts w:ascii="方正仿宋_GBK" w:eastAsia="方正仿宋_GBK" w:hAnsi="楷体" w:hint="eastAsia"/>
          <w:color w:val="000000" w:themeColor="text1"/>
          <w:szCs w:val="32"/>
        </w:rPr>
        <w:t>加强大气污染防治，制定实施大气污染防治工作年度计划，扎实推进燃煤烟气、工业废气、施工扬尘、机动车船尾气、挥发性有机物等防治工作，加强空气质量监测预警，完成省下达的PM2.5平均浓度和城市空气质量优良天数比例目标任务。</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5.</w:t>
      </w:r>
      <w:r w:rsidRPr="00020C28">
        <w:rPr>
          <w:rFonts w:ascii="方正仿宋_GBK" w:eastAsia="方正仿宋_GBK" w:hAnsi="楷体" w:hint="eastAsia"/>
          <w:color w:val="000000" w:themeColor="text1"/>
          <w:szCs w:val="32"/>
        </w:rPr>
        <w:t>加强土壤污染防治，制定《无锡市土壤污染防治工作方案》及年度计划，推进土壤污染状况详查和重金属污染防治工作。开展危险废物、工业污泥、医疗废物等规范化检查，大力推进危险废物处置能力建设。</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6.</w:t>
      </w:r>
      <w:r w:rsidRPr="00020C28">
        <w:rPr>
          <w:rFonts w:ascii="方正仿宋_GBK" w:eastAsia="方正仿宋_GBK" w:hAnsi="楷体" w:hint="eastAsia"/>
          <w:color w:val="000000" w:themeColor="text1"/>
          <w:szCs w:val="32"/>
        </w:rPr>
        <w:t>贯彻落实新《环境保护法》，开展“绿刃2018”环境执</w:t>
      </w:r>
      <w:r w:rsidRPr="00020C28">
        <w:rPr>
          <w:rFonts w:ascii="方正仿宋_GBK" w:eastAsia="方正仿宋_GBK" w:hAnsi="楷体" w:hint="eastAsia"/>
          <w:color w:val="000000" w:themeColor="text1"/>
          <w:szCs w:val="32"/>
        </w:rPr>
        <w:lastRenderedPageBreak/>
        <w:t>法专项行动，完善环境执法与刑事司法衔接机制，做好环境信访工作，严格执法监管，严肃查处环境违法行为。</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7.</w:t>
      </w:r>
      <w:r w:rsidRPr="00020C28">
        <w:rPr>
          <w:rFonts w:ascii="方正仿宋_GBK" w:eastAsia="方正仿宋_GBK" w:hAnsi="楷体" w:hint="eastAsia"/>
          <w:color w:val="000000" w:themeColor="text1"/>
          <w:szCs w:val="32"/>
        </w:rPr>
        <w:t>推进环保机构监测监察执法垂直管理改革。</w:t>
      </w:r>
    </w:p>
    <w:p w:rsidR="00B7239E" w:rsidRPr="00020C28" w:rsidRDefault="00B7239E" w:rsidP="00B7239E">
      <w:pPr>
        <w:spacing w:line="600" w:lineRule="exact"/>
        <w:ind w:firstLine="640"/>
        <w:rPr>
          <w:rFonts w:ascii="方正仿宋_GBK" w:eastAsia="方正仿宋_GBK"/>
          <w:color w:val="000000" w:themeColor="text1"/>
          <w:kern w:val="0"/>
          <w:szCs w:val="32"/>
        </w:rPr>
      </w:pPr>
      <w:r>
        <w:rPr>
          <w:rFonts w:ascii="方正仿宋_GBK" w:eastAsia="方正仿宋_GBK" w:hAnsi="楷体" w:hint="eastAsia"/>
          <w:color w:val="000000" w:themeColor="text1"/>
          <w:szCs w:val="32"/>
        </w:rPr>
        <w:t>8.</w:t>
      </w:r>
      <w:r w:rsidRPr="00020C28">
        <w:rPr>
          <w:rFonts w:ascii="方正仿宋_GBK" w:eastAsia="方正仿宋_GBK" w:hint="eastAsia"/>
          <w:color w:val="000000" w:themeColor="text1"/>
          <w:kern w:val="0"/>
          <w:szCs w:val="32"/>
        </w:rPr>
        <w:t>严守环保准入门槛，依法依规开展规划环评、建设项目环评，实时报送环评审批信息。积极推进环评制度改革，推进“三线一单”划定工作，深化环境污染责任保险工作。</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9.</w:t>
      </w:r>
      <w:r w:rsidRPr="00020C28">
        <w:rPr>
          <w:rFonts w:ascii="方正仿宋_GBK" w:eastAsia="方正仿宋_GBK" w:hAnsi="楷体" w:hint="eastAsia"/>
          <w:color w:val="000000" w:themeColor="text1"/>
          <w:szCs w:val="32"/>
        </w:rPr>
        <w:t>完成省下达的减排目标任务，推进水环境区域补偿，开展排污许可证核发工作，完成第二次全国污染源普查的入户调查（数据采集）工作。</w:t>
      </w:r>
    </w:p>
    <w:p w:rsidR="00B7239E" w:rsidRPr="00020C28" w:rsidRDefault="00B7239E" w:rsidP="00B7239E">
      <w:pPr>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10.</w:t>
      </w:r>
      <w:r w:rsidRPr="00020C28">
        <w:rPr>
          <w:rFonts w:ascii="方正仿宋_GBK" w:eastAsia="方正仿宋_GBK" w:hAnsi="楷体" w:hint="eastAsia"/>
          <w:color w:val="000000" w:themeColor="text1"/>
          <w:szCs w:val="32"/>
        </w:rPr>
        <w:t>启动“感知环境智慧环保”物联网示范工程二期项目建设。</w:t>
      </w:r>
    </w:p>
    <w:p w:rsidR="00B7239E" w:rsidRPr="00020C28" w:rsidRDefault="00B7239E" w:rsidP="00B7239E">
      <w:pPr>
        <w:adjustRightInd w:val="0"/>
        <w:snapToGrid w:val="0"/>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11.</w:t>
      </w:r>
      <w:r w:rsidRPr="00020C28">
        <w:rPr>
          <w:rFonts w:ascii="方正仿宋_GBK" w:eastAsia="方正仿宋_GBK" w:hAnsi="楷体" w:hint="eastAsia"/>
          <w:color w:val="000000" w:themeColor="text1"/>
          <w:szCs w:val="32"/>
        </w:rPr>
        <w:t>加强节能管理，建设“两型”机关。完成本部门</w:t>
      </w:r>
      <w:r>
        <w:rPr>
          <w:rFonts w:ascii="方正仿宋_GBK" w:eastAsia="方正仿宋_GBK" w:hAnsi="楷体" w:hint="eastAsia"/>
          <w:color w:val="000000" w:themeColor="text1"/>
          <w:szCs w:val="32"/>
        </w:rPr>
        <w:t>“</w:t>
      </w:r>
      <w:r w:rsidRPr="00020C28">
        <w:rPr>
          <w:rFonts w:ascii="方正仿宋_GBK" w:eastAsia="方正仿宋_GBK" w:hAnsi="楷体" w:hint="eastAsia"/>
          <w:color w:val="000000" w:themeColor="text1"/>
          <w:szCs w:val="32"/>
        </w:rPr>
        <w:t>三公</w:t>
      </w:r>
      <w:r>
        <w:rPr>
          <w:rFonts w:ascii="方正仿宋_GBK" w:eastAsia="方正仿宋_GBK" w:hAnsi="楷体" w:hint="eastAsia"/>
          <w:color w:val="000000" w:themeColor="text1"/>
          <w:szCs w:val="32"/>
        </w:rPr>
        <w:t>”</w:t>
      </w:r>
      <w:r w:rsidRPr="00020C28">
        <w:rPr>
          <w:rFonts w:ascii="方正仿宋_GBK" w:eastAsia="方正仿宋_GBK" w:hAnsi="楷体" w:hint="eastAsia"/>
          <w:color w:val="000000" w:themeColor="text1"/>
          <w:szCs w:val="32"/>
        </w:rPr>
        <w:t>经费控制目标。</w:t>
      </w:r>
    </w:p>
    <w:p w:rsidR="00B7239E" w:rsidRPr="00020C28" w:rsidRDefault="00B7239E" w:rsidP="00B7239E">
      <w:pPr>
        <w:adjustRightInd w:val="0"/>
        <w:snapToGrid w:val="0"/>
        <w:spacing w:line="600" w:lineRule="exact"/>
        <w:ind w:firstLine="640"/>
        <w:rPr>
          <w:rFonts w:ascii="方正仿宋_GBK" w:eastAsia="方正仿宋_GBK" w:hAnsi="楷体"/>
          <w:color w:val="000000" w:themeColor="text1"/>
          <w:szCs w:val="32"/>
        </w:rPr>
      </w:pPr>
      <w:r>
        <w:rPr>
          <w:rFonts w:ascii="方正仿宋_GBK" w:eastAsia="方正仿宋_GBK" w:hAnsi="楷体" w:hint="eastAsia"/>
          <w:color w:val="000000" w:themeColor="text1"/>
          <w:szCs w:val="32"/>
        </w:rPr>
        <w:t>12.</w:t>
      </w:r>
      <w:r w:rsidRPr="00020C28">
        <w:rPr>
          <w:rFonts w:ascii="方正仿宋_GBK" w:eastAsia="方正仿宋_GBK" w:hAnsi="楷体" w:hint="eastAsia"/>
          <w:color w:val="000000" w:themeColor="text1"/>
          <w:szCs w:val="32"/>
        </w:rPr>
        <w:t>完成市委、市政府下达的其他重点工作任务。</w:t>
      </w:r>
    </w:p>
    <w:p w:rsidR="00972193" w:rsidRPr="00B7239E" w:rsidRDefault="00972193">
      <w:pPr>
        <w:ind w:firstLine="640"/>
      </w:pPr>
    </w:p>
    <w:sectPr w:rsidR="00972193" w:rsidRPr="00B72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D42" w:rsidRDefault="00FB1D42" w:rsidP="00B7239E">
      <w:pPr>
        <w:ind w:firstLine="640"/>
      </w:pPr>
      <w:r>
        <w:separator/>
      </w:r>
    </w:p>
  </w:endnote>
  <w:endnote w:type="continuationSeparator" w:id="0">
    <w:p w:rsidR="00FB1D42" w:rsidRDefault="00FB1D42" w:rsidP="00B7239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D42" w:rsidRDefault="00FB1D42" w:rsidP="00B7239E">
      <w:pPr>
        <w:ind w:firstLine="640"/>
      </w:pPr>
      <w:r>
        <w:separator/>
      </w:r>
    </w:p>
  </w:footnote>
  <w:footnote w:type="continuationSeparator" w:id="0">
    <w:p w:rsidR="00FB1D42" w:rsidRDefault="00FB1D42" w:rsidP="00B7239E">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48"/>
    <w:rsid w:val="00972193"/>
    <w:rsid w:val="00B7239E"/>
    <w:rsid w:val="00C86E48"/>
    <w:rsid w:val="00FB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7CD078-44C8-4CF8-83C7-5B413C31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39E"/>
    <w:pPr>
      <w:widowControl w:val="0"/>
      <w:ind w:firstLineChars="200" w:firstLine="20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239E"/>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239E"/>
    <w:rPr>
      <w:sz w:val="18"/>
      <w:szCs w:val="18"/>
    </w:rPr>
  </w:style>
  <w:style w:type="paragraph" w:styleId="a4">
    <w:name w:val="footer"/>
    <w:basedOn w:val="a"/>
    <w:link w:val="Char0"/>
    <w:uiPriority w:val="99"/>
    <w:unhideWhenUsed/>
    <w:rsid w:val="00B7239E"/>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239E"/>
    <w:rPr>
      <w:sz w:val="18"/>
      <w:szCs w:val="18"/>
    </w:rPr>
  </w:style>
  <w:style w:type="paragraph" w:styleId="a5">
    <w:name w:val="Subtitle"/>
    <w:basedOn w:val="a"/>
    <w:next w:val="a"/>
    <w:link w:val="Char1"/>
    <w:qFormat/>
    <w:rsid w:val="00B7239E"/>
    <w:pPr>
      <w:adjustRightInd w:val="0"/>
      <w:snapToGrid w:val="0"/>
      <w:spacing w:line="560" w:lineRule="exact"/>
      <w:ind w:firstLineChars="0" w:firstLine="0"/>
      <w:jc w:val="center"/>
    </w:pPr>
    <w:rPr>
      <w:rFonts w:ascii="方正小标宋简体" w:eastAsia="方正小标宋简体"/>
      <w:sz w:val="36"/>
      <w:szCs w:val="36"/>
    </w:rPr>
  </w:style>
  <w:style w:type="character" w:customStyle="1" w:styleId="Char1">
    <w:name w:val="副标题 Char"/>
    <w:basedOn w:val="a0"/>
    <w:link w:val="a5"/>
    <w:qFormat/>
    <w:rsid w:val="00B7239E"/>
    <w:rPr>
      <w:rFonts w:ascii="方正小标宋简体" w:eastAsia="方正小标宋简体"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吴兆毅</dc:creator>
  <cp:keywords/>
  <dc:description/>
  <cp:lastModifiedBy>吴兆毅</cp:lastModifiedBy>
  <cp:revision>2</cp:revision>
  <dcterms:created xsi:type="dcterms:W3CDTF">2018-12-20T07:17:00Z</dcterms:created>
  <dcterms:modified xsi:type="dcterms:W3CDTF">2018-12-20T07:17:00Z</dcterms:modified>
</cp:coreProperties>
</file>