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F4A" w:rsidRDefault="00485F4A" w:rsidP="00485F4A">
      <w:pPr>
        <w:spacing w:line="560" w:lineRule="exact"/>
        <w:rPr>
          <w:rFonts w:ascii="黑体" w:eastAsia="黑体" w:hAnsi="黑体" w:cs="黑体"/>
          <w:sz w:val="32"/>
          <w:szCs w:val="32"/>
        </w:rPr>
      </w:pPr>
      <w:r>
        <w:rPr>
          <w:rFonts w:ascii="黑体" w:eastAsia="黑体" w:hAnsi="黑体" w:cs="黑体" w:hint="eastAsia"/>
          <w:sz w:val="32"/>
          <w:szCs w:val="32"/>
        </w:rPr>
        <w:t>附件1</w:t>
      </w:r>
    </w:p>
    <w:p w:rsidR="00485F4A" w:rsidRDefault="00485F4A" w:rsidP="00485F4A">
      <w:pPr>
        <w:spacing w:line="560" w:lineRule="exact"/>
        <w:ind w:firstLineChars="200" w:firstLine="640"/>
        <w:rPr>
          <w:rFonts w:ascii="方正仿宋_GBK" w:eastAsia="方正仿宋_GBK" w:hAnsi="方正仿宋_GBK" w:cs="方正仿宋_GBK"/>
          <w:b/>
          <w:color w:val="000000"/>
          <w:kern w:val="0"/>
          <w:sz w:val="32"/>
          <w:szCs w:val="32"/>
          <w:lang/>
        </w:rPr>
      </w:pPr>
    </w:p>
    <w:p w:rsidR="00485F4A" w:rsidRDefault="00485F4A" w:rsidP="00485F4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color w:val="000000"/>
          <w:kern w:val="0"/>
          <w:sz w:val="44"/>
          <w:szCs w:val="44"/>
          <w:lang/>
        </w:rPr>
        <w:t>无锡市土壤环境重点监管企业名单（第一批）</w:t>
      </w:r>
    </w:p>
    <w:tbl>
      <w:tblPr>
        <w:tblW w:w="8762" w:type="dxa"/>
        <w:tblLayout w:type="fixed"/>
        <w:tblCellMar>
          <w:top w:w="15" w:type="dxa"/>
          <w:left w:w="15" w:type="dxa"/>
          <w:bottom w:w="15" w:type="dxa"/>
          <w:right w:w="15" w:type="dxa"/>
        </w:tblCellMar>
        <w:tblLook w:val="04A0"/>
      </w:tblPr>
      <w:tblGrid>
        <w:gridCol w:w="850"/>
        <w:gridCol w:w="1513"/>
        <w:gridCol w:w="1773"/>
        <w:gridCol w:w="3480"/>
        <w:gridCol w:w="1146"/>
      </w:tblGrid>
      <w:tr w:rsidR="00485F4A" w:rsidTr="005D735F">
        <w:trPr>
          <w:trHeight w:val="630"/>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b/>
                <w:color w:val="000000"/>
                <w:sz w:val="22"/>
                <w:szCs w:val="22"/>
              </w:rPr>
            </w:pPr>
            <w:r>
              <w:rPr>
                <w:rFonts w:ascii="方正仿宋_GBK" w:eastAsia="方正仿宋_GBK" w:hAnsi="方正仿宋_GBK" w:cs="方正仿宋_GBK" w:hint="eastAsia"/>
                <w:b/>
                <w:color w:val="000000"/>
                <w:kern w:val="0"/>
                <w:sz w:val="22"/>
                <w:szCs w:val="22"/>
                <w:lang/>
              </w:rPr>
              <w:t>序号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b/>
                <w:color w:val="000000"/>
                <w:sz w:val="22"/>
                <w:szCs w:val="22"/>
              </w:rPr>
            </w:pPr>
            <w:r>
              <w:rPr>
                <w:rFonts w:ascii="方正仿宋_GBK" w:eastAsia="方正仿宋_GBK" w:hAnsi="方正仿宋_GBK" w:cs="方正仿宋_GBK" w:hint="eastAsia"/>
                <w:b/>
                <w:color w:val="000000"/>
                <w:kern w:val="0"/>
                <w:sz w:val="22"/>
                <w:szCs w:val="22"/>
                <w:lang/>
              </w:rPr>
              <w:t>市（县）、区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b/>
                <w:color w:val="000000"/>
                <w:sz w:val="22"/>
                <w:szCs w:val="22"/>
              </w:rPr>
            </w:pPr>
            <w:r>
              <w:rPr>
                <w:rFonts w:ascii="方正仿宋_GBK" w:eastAsia="方正仿宋_GBK" w:hAnsi="方正仿宋_GBK" w:cs="方正仿宋_GBK" w:hint="eastAsia"/>
                <w:b/>
                <w:color w:val="000000"/>
                <w:kern w:val="0"/>
                <w:sz w:val="22"/>
                <w:szCs w:val="22"/>
                <w:lang/>
              </w:rPr>
              <w:t>组织机构代码</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b/>
                <w:color w:val="000000"/>
                <w:sz w:val="22"/>
                <w:szCs w:val="22"/>
              </w:rPr>
            </w:pPr>
            <w:r>
              <w:rPr>
                <w:rFonts w:ascii="方正仿宋_GBK" w:eastAsia="方正仿宋_GBK" w:hAnsi="方正仿宋_GBK" w:cs="方正仿宋_GBK" w:hint="eastAsia"/>
                <w:b/>
                <w:color w:val="000000"/>
                <w:kern w:val="0"/>
                <w:sz w:val="22"/>
                <w:szCs w:val="22"/>
                <w:lang/>
              </w:rPr>
              <w:t>企业名称</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b/>
                <w:color w:val="000000"/>
                <w:sz w:val="22"/>
                <w:szCs w:val="22"/>
              </w:rPr>
            </w:pPr>
            <w:r>
              <w:rPr>
                <w:rFonts w:ascii="方正仿宋_GBK" w:eastAsia="方正仿宋_GBK" w:hAnsi="方正仿宋_GBK" w:cs="方正仿宋_GBK" w:hint="eastAsia"/>
                <w:b/>
                <w:color w:val="000000"/>
                <w:kern w:val="0"/>
                <w:sz w:val="22"/>
                <w:szCs w:val="22"/>
                <w:lang/>
              </w:rPr>
              <w:t>类别</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748708578</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江苏海伦石化有限公司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607983277</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江苏泰富兴澄特殊钢有限公司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607984202</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江阴兴澄特种钢铁有限公司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743107044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江阴华西钢铁有限公司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662734660</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江阴春兴合金有限公司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250381416</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江阴市长江化工有限公司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762410268</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江阴贝卡尔特合金材料有限公司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714086395</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江苏三木化工股份有限公司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9</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695534884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宜兴市凌霞固废处置有限公司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142871573</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宜兴市鑫禾颜料化工有限公司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731765568</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宜兴市豪强电源有限公司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785588341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宜兴法阿姆工业电池有限公司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767390622</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无锡市普发电源有限公司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714934921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无锡市华燕新电源有限公司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宜兴市</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755891737</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江苏鹏鹭电源有限公司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锡山区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732490121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统盟（无锡）电子有限公司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锡山区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748732826</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高德（无锡）电子有限公司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kern w:val="0"/>
                <w:szCs w:val="21"/>
                <w:lang/>
              </w:rPr>
            </w:pPr>
            <w:r>
              <w:rPr>
                <w:color w:val="000000"/>
                <w:kern w:val="0"/>
                <w:szCs w:val="21"/>
                <w:lang/>
              </w:rPr>
              <w:lastRenderedPageBreak/>
              <w:t>1</w:t>
            </w:r>
            <w:r>
              <w:rPr>
                <w:rFonts w:hint="eastAsia"/>
                <w:color w:val="000000"/>
                <w:kern w:val="0"/>
                <w:szCs w:val="21"/>
                <w:lang/>
              </w:rPr>
              <w:t>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锡山区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kern w:val="0"/>
                <w:szCs w:val="21"/>
                <w:lang/>
              </w:rPr>
            </w:pPr>
            <w:r>
              <w:rPr>
                <w:color w:val="000000"/>
                <w:kern w:val="0"/>
                <w:szCs w:val="21"/>
                <w:lang/>
              </w:rPr>
              <w:t>72443105</w:t>
            </w:r>
            <w:r>
              <w:rPr>
                <w:rFonts w:hint="eastAsia"/>
                <w:color w:val="000000"/>
                <w:kern w:val="0"/>
                <w:szCs w:val="21"/>
                <w:lang/>
              </w:rPr>
              <w:t>X</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健鼎（无锡）电子有限公司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kern w:val="0"/>
                <w:szCs w:val="21"/>
                <w:lang/>
              </w:rPr>
            </w:pPr>
            <w:r>
              <w:rPr>
                <w:rFonts w:ascii="方正仿宋_GBK" w:eastAsia="方正仿宋_GBK" w:hAnsi="方正仿宋_GBK" w:cs="方正仿宋_GBK" w:hint="eastAsia"/>
                <w:color w:val="000000"/>
                <w:kern w:val="0"/>
                <w:szCs w:val="21"/>
                <w:lang/>
              </w:rPr>
              <w:t>市级名单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19</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780254377</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无锡元泰科技有限公司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755881061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无锡永发电镀有限公司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75798630</w:t>
            </w:r>
            <w:r>
              <w:rPr>
                <w:rFonts w:hint="eastAsia"/>
                <w:color w:val="000000"/>
                <w:kern w:val="0"/>
                <w:szCs w:val="21"/>
                <w:lang/>
              </w:rPr>
              <w:t>X</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无锡鑫明表面处理有限公司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752030974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无锡万宝电镀有限公司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682153644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无锡市振华开祥科技有限公司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795563094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无锡市进宝电镀有限公司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75896441</w:t>
            </w:r>
            <w:r>
              <w:rPr>
                <w:rFonts w:hint="eastAsia"/>
                <w:color w:val="000000"/>
                <w:kern w:val="0"/>
                <w:szCs w:val="21"/>
                <w:lang/>
              </w:rPr>
              <w:t>X</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无锡市恒红贵金属材料有限公司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774687088</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无锡三鑫包装饰品表面处理有限公司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772498531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无锡瑞特表面处理有限公司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783369663</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无锡日矿富士精密加工有限公司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29</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757987310</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无锡普瑞嘉金属表面处理有限公司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776858944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无锡龙达集佳制版有限公司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765129041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无锡骏达金属表面处理有限公司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761548281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无锡金信表面处理有限公司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761014757</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无锡金苏电镀有限公司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76512841</w:t>
            </w:r>
            <w:r>
              <w:rPr>
                <w:rFonts w:hint="eastAsia"/>
                <w:color w:val="000000"/>
                <w:kern w:val="0"/>
                <w:szCs w:val="21"/>
                <w:lang/>
              </w:rPr>
              <w:t>X</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无锡建邦电子有限公司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557077152</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无锡惠发电镀有限公司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780254465</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无锡华新表面处理有限公司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lastRenderedPageBreak/>
              <w:t>37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755880632</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无锡鸿运电镀有限公司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761549778</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无锡富一表面处理有限公司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39</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766539106</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无锡福荣表面处理有限公司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754629921</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无锡东圣表面处理有限公司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75967414</w:t>
            </w:r>
            <w:r>
              <w:rPr>
                <w:rFonts w:hint="eastAsia"/>
                <w:color w:val="000000"/>
                <w:kern w:val="0"/>
                <w:szCs w:val="21"/>
                <w:lang/>
              </w:rPr>
              <w:t>X</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无锡鼎亚电子材料有限公司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780254385</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庆盛电子（无锡）有限公司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765128153</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明通飙升表面处理（无锡）有限公司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792328847</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无锡金鹏水处理有限公司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惠山区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743923930</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无锡清碧水处理设备有限公司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滨湖区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779663392</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无锡固废环保处置有限公司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滨湖区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73224545</w:t>
            </w:r>
            <w:r>
              <w:rPr>
                <w:rFonts w:hint="eastAsia"/>
                <w:color w:val="000000"/>
                <w:kern w:val="0"/>
                <w:szCs w:val="21"/>
                <w:lang/>
              </w:rPr>
              <w:t>X</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无锡市工业废物安全处置有限公司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新吴区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717855313</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海力士半导体（中国）有限公司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49</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新吴区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754648217</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盛隆资源再生（无锡）有限公司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54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50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新吴区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798607724</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无锡中天固废处置有限公司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省级名单</w:t>
            </w:r>
          </w:p>
        </w:tc>
      </w:tr>
      <w:tr w:rsidR="00485F4A" w:rsidTr="005D735F">
        <w:trPr>
          <w:trHeight w:val="285"/>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51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新吴区</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color w:val="000000"/>
                <w:szCs w:val="21"/>
              </w:rPr>
            </w:pPr>
            <w:r>
              <w:rPr>
                <w:color w:val="000000"/>
                <w:kern w:val="0"/>
                <w:szCs w:val="21"/>
                <w:lang/>
              </w:rPr>
              <w:t>735715875</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杰士电池有限公司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F4A" w:rsidRDefault="00485F4A" w:rsidP="005D735F">
            <w:pPr>
              <w:widowControl/>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rPr>
              <w:t>市级名单</w:t>
            </w:r>
          </w:p>
        </w:tc>
      </w:tr>
    </w:tbl>
    <w:p w:rsidR="00485F4A" w:rsidRDefault="00485F4A" w:rsidP="00485F4A">
      <w:pPr>
        <w:spacing w:line="560" w:lineRule="exact"/>
        <w:ind w:firstLineChars="200" w:firstLine="640"/>
        <w:rPr>
          <w:rFonts w:eastAsia="仿宋_GB2312"/>
          <w:sz w:val="32"/>
          <w:szCs w:val="32"/>
        </w:rPr>
      </w:pPr>
    </w:p>
    <w:p w:rsidR="00485F4A" w:rsidRDefault="00485F4A" w:rsidP="00485F4A">
      <w:pPr>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附件2</w:t>
      </w:r>
    </w:p>
    <w:p w:rsidR="00485F4A" w:rsidRDefault="00485F4A" w:rsidP="00485F4A"/>
    <w:p w:rsidR="00485F4A" w:rsidRDefault="00485F4A" w:rsidP="00485F4A"/>
    <w:p w:rsidR="00485F4A" w:rsidRDefault="00485F4A" w:rsidP="00485F4A"/>
    <w:p w:rsidR="00485F4A" w:rsidRDefault="00485F4A" w:rsidP="00485F4A"/>
    <w:p w:rsidR="00485F4A" w:rsidRDefault="00485F4A" w:rsidP="00485F4A"/>
    <w:p w:rsidR="00485F4A" w:rsidRDefault="00485F4A" w:rsidP="00485F4A">
      <w:pPr>
        <w:pStyle w:val="1"/>
      </w:pPr>
      <w:r>
        <w:rPr>
          <w:rFonts w:hint="eastAsia"/>
        </w:rPr>
        <w:t>××公司</w:t>
      </w:r>
      <w:r>
        <w:rPr>
          <w:rFonts w:hint="eastAsia"/>
        </w:rPr>
        <w:t>/</w:t>
      </w:r>
      <w:r>
        <w:rPr>
          <w:rFonts w:hint="eastAsia"/>
        </w:rPr>
        <w:t>集团土壤污染防治责任书</w:t>
      </w:r>
    </w:p>
    <w:p w:rsidR="00485F4A" w:rsidRDefault="00485F4A" w:rsidP="00485F4A">
      <w:pPr>
        <w:pStyle w:val="2"/>
        <w:rPr>
          <w:rFonts w:ascii="楷体_GB2312" w:eastAsia="楷体_GB2312" w:hAnsi="楷体_GB2312" w:cs="楷体_GB2312"/>
          <w:sz w:val="32"/>
          <w:szCs w:val="32"/>
        </w:rPr>
      </w:pPr>
      <w:r>
        <w:rPr>
          <w:rFonts w:ascii="楷体_GB2312" w:eastAsia="楷体_GB2312" w:hAnsi="楷体_GB2312" w:cs="楷体_GB2312" w:hint="eastAsia"/>
          <w:sz w:val="32"/>
          <w:szCs w:val="32"/>
        </w:rPr>
        <w:t>（参考样式）</w:t>
      </w: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rPr>
          <w:rFonts w:ascii="楷体_GB2312" w:eastAsia="楷体_GB2312" w:hAnsi="楷体_GB2312" w:cs="楷体_GB2312"/>
        </w:rPr>
      </w:pPr>
    </w:p>
    <w:p w:rsidR="00485F4A" w:rsidRDefault="00485F4A" w:rsidP="00485F4A">
      <w:pPr>
        <w:pStyle w:val="2"/>
        <w:rPr>
          <w:rFonts w:ascii="楷体_GB2312" w:eastAsia="楷体_GB2312" w:hAnsi="楷体_GB2312" w:cs="楷体_GB2312"/>
          <w:sz w:val="32"/>
          <w:szCs w:val="40"/>
        </w:rPr>
      </w:pPr>
      <w:r>
        <w:rPr>
          <w:rFonts w:ascii="楷体_GB2312" w:eastAsia="楷体_GB2312" w:hAnsi="楷体_GB2312" w:cs="楷体_GB2312" w:hint="eastAsia"/>
          <w:sz w:val="32"/>
          <w:szCs w:val="40"/>
        </w:rPr>
        <w:t>二○一七年  月  日</w:t>
      </w:r>
    </w:p>
    <w:p w:rsidR="00485F4A" w:rsidRDefault="00485F4A" w:rsidP="00485F4A">
      <w:pPr>
        <w:spacing w:line="520" w:lineRule="exact"/>
        <w:ind w:firstLineChars="200" w:firstLine="420"/>
        <w:rPr>
          <w:rFonts w:ascii="仿宋_GB2312" w:eastAsia="仿宋_GB2312" w:hAnsi="仿宋_GB2312" w:cs="仿宋_GB2312"/>
          <w:sz w:val="32"/>
          <w:szCs w:val="32"/>
        </w:rPr>
      </w:pPr>
      <w:r>
        <w:rPr>
          <w:rFonts w:ascii="楷体_GB2312" w:eastAsia="楷体_GB2312" w:hAnsi="楷体_GB2312" w:cs="楷体_GB2312" w:hint="eastAsia"/>
        </w:rPr>
        <w:br w:type="page"/>
      </w:r>
      <w:r>
        <w:rPr>
          <w:rFonts w:ascii="仿宋_GB2312" w:eastAsia="仿宋_GB2312" w:hAnsi="仿宋_GB2312" w:cs="仿宋_GB2312" w:hint="eastAsia"/>
          <w:sz w:val="32"/>
          <w:szCs w:val="32"/>
        </w:rPr>
        <w:lastRenderedPageBreak/>
        <w:t>为贯彻《江苏省土壤污染防治工作方案》（苏政发〔2016〕169号）关于防范建设用地新增污染的要求，落实企业污染防治的主体责任，××政府与××公司/集团签订土壤污染防治责任书。具体目标和要求如下：</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一、明确责任主体</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集团对本企业用地土壤污染防治承担主体责任。按照“谁污染，谁治理”原则，造成土壤污染的，要承担风险管控或者治理与修复的主体责任。责任主体发生变更的，由变更后继承其债权、债务的单位或个人承担相关责任；土地使用权依法转让的，由土地使用权受让人或双方约定的责任人承担相关责任。</w:t>
      </w:r>
    </w:p>
    <w:p w:rsidR="00485F4A" w:rsidRDefault="00485F4A" w:rsidP="00485F4A">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二、防范企业用地新增污染</w:t>
      </w:r>
    </w:p>
    <w:p w:rsidR="00485F4A" w:rsidRDefault="00485F4A" w:rsidP="00485F4A">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（一）排查及整改土壤污染隐患</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1、列入土壤环境重点监管企业名单的企业每年要自行对其用地进行土壤环境监测，结果向社会公开。</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开展土壤污染隐患排查。本责任书签订之日起3个月内完成。重点对生产区以及原材料与废物堆存区、储放区、转运区、污染治理设施及其运行管理等开展排查。有重点监管尾矿库的企业要进行尾矿库环境安全的排查。</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制定土壤污染隐患整改方案。根据排查情况，制定整改方案。在责任书签订之日起6个月内完成。整改方案要明确责任人、具体整改措施、时间和进度安排。具体整改措施可包括工程措施、管理措施和资金预算。整改方案报所在地县级环保部门备案，并定期报告整改措施进展情况。</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4、落实整改措施。原则上，对发现的重大隐患应当立即采取措施排除隐患；整改措施要在责任书签订之日起12</w:t>
      </w:r>
      <w:r>
        <w:rPr>
          <w:rFonts w:ascii="仿宋_GB2312" w:eastAsia="仿宋_GB2312" w:hAnsi="仿宋_GB2312" w:cs="仿宋_GB2312" w:hint="eastAsia"/>
          <w:sz w:val="32"/>
          <w:szCs w:val="32"/>
        </w:rPr>
        <w:lastRenderedPageBreak/>
        <w:t>个月内完成。</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5、建立隐患定期排查制度。企业要按照一定频次开展土壤污染隐患排查，建立隐患排查档案，及时整治发现的隐患。</w:t>
      </w:r>
    </w:p>
    <w:p w:rsidR="00485F4A" w:rsidRDefault="00485F4A" w:rsidP="00485F4A">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（二）防止新、改、扩建项目污染土壤</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新、改、扩建可能对土壤产生不利影响的项目，在开展环境影响评价时，要对土壤环境影响进行评价，提出预防或减缓不利影响的具体措施。</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做好新、改、扩建项目所涉及建设用地的土壤环境本底调查，根据项目原辅材料、产品、可能排放的污染物等，确定监测指标。</w:t>
      </w:r>
    </w:p>
    <w:p w:rsidR="00485F4A" w:rsidRDefault="00485F4A" w:rsidP="00485F4A">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（三）防范拆除活动污染土壤</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拆除生产设施设备、构筑物和污染治理设施，要事先制定残留污染物清理和安全处置方案，并报所在地县级环保、经济和信息化部门备案；要严格按照有关规定实施安全处理处置，防范拆除活动污染土壤。</w:t>
      </w:r>
    </w:p>
    <w:p w:rsidR="00485F4A" w:rsidRDefault="00485F4A" w:rsidP="00485F4A">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（四）履行危险废物依法处置责任</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根据《危险废物产生单位管理计划制定指南》（环境保护部公告2016年第7号），建立危险废物台账，确保产生的全部危险废物依法依规处置，全面落实危险废物产生单位规范化管理。</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（五）防范突发环境事件污染土壤</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完善本企业突发环境事件应急预案，补充完善防止土壤污染相关内容。在本责任书签订之日起3个月内完成。</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突发环境事件涉及土壤污染的，要启动土壤污染防治应急措施；应急结束后，对需要开展治理与修复的污染地块，</w:t>
      </w:r>
      <w:r>
        <w:rPr>
          <w:rFonts w:ascii="仿宋_GB2312" w:eastAsia="仿宋_GB2312" w:hAnsi="仿宋_GB2312" w:cs="仿宋_GB2312" w:hint="eastAsia"/>
          <w:sz w:val="32"/>
          <w:szCs w:val="32"/>
        </w:rPr>
        <w:lastRenderedPageBreak/>
        <w:t>制定并落实污染土壤治理和修复方案。</w:t>
      </w:r>
    </w:p>
    <w:p w:rsidR="00485F4A" w:rsidRDefault="00485F4A" w:rsidP="00485F4A">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（六）防止治理与修复工程造成二次污染</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集团如需开展污染土壤治理与修复，要采取必要措施防止污染土壤挖掘、堆存、转运等造成二次污染。防止修复后土壤的二次污染，需严格按照指定用途对修复后地块再开发利用，并严格遵守相应的风险管控制度，确保修复后土壤不会发生二次污染。</w:t>
      </w:r>
    </w:p>
    <w:p w:rsidR="00485F4A" w:rsidRDefault="00485F4A" w:rsidP="00485F4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三、所在地县级人民政府每年组织对××公司（集团、厂矿）执行本责任书情况进行考核，结果向社会公布。</w:t>
      </w:r>
    </w:p>
    <w:p w:rsidR="00485F4A" w:rsidRDefault="00485F4A" w:rsidP="00485F4A">
      <w:pPr>
        <w:spacing w:line="520" w:lineRule="exact"/>
        <w:ind w:firstLineChars="200" w:firstLine="640"/>
        <w:rPr>
          <w:rFonts w:ascii="仿宋_GB2312" w:eastAsia="仿宋_GB2312" w:hAnsi="仿宋_GB2312" w:cs="仿宋_GB2312"/>
          <w:sz w:val="32"/>
          <w:szCs w:val="32"/>
        </w:rPr>
      </w:pPr>
      <w:bookmarkStart w:id="0" w:name="_Toc312161402"/>
      <w:bookmarkStart w:id="1" w:name="_Toc306174974"/>
      <w:r>
        <w:rPr>
          <w:rFonts w:ascii="仿宋_GB2312" w:eastAsia="仿宋_GB2312" w:hAnsi="仿宋_GB2312" w:cs="仿宋_GB2312" w:hint="eastAsia"/>
          <w:sz w:val="32"/>
          <w:szCs w:val="32"/>
        </w:rPr>
        <w:t>四、《××公司/集团土壤污染防治责任书》一式两份，××人民政府和签订责任书的企业各保存一份。</w:t>
      </w:r>
    </w:p>
    <w:p w:rsidR="00485F4A" w:rsidRDefault="00485F4A" w:rsidP="00485F4A">
      <w:pPr>
        <w:spacing w:line="520" w:lineRule="exact"/>
        <w:ind w:firstLineChars="200" w:firstLine="640"/>
        <w:rPr>
          <w:rFonts w:ascii="仿宋_GB2312" w:eastAsia="仿宋_GB2312" w:hAnsi="仿宋_GB2312" w:cs="仿宋_GB2312"/>
          <w:sz w:val="32"/>
          <w:szCs w:val="32"/>
        </w:rPr>
      </w:pPr>
    </w:p>
    <w:p w:rsidR="00485F4A" w:rsidRDefault="00485F4A" w:rsidP="00485F4A">
      <w:pPr>
        <w:spacing w:line="520" w:lineRule="exact"/>
        <w:ind w:firstLineChars="200" w:firstLine="640"/>
        <w:rPr>
          <w:rFonts w:ascii="仿宋_GB2312" w:eastAsia="仿宋_GB2312" w:hAnsi="仿宋_GB2312" w:cs="仿宋_GB2312"/>
          <w:sz w:val="32"/>
          <w:szCs w:val="32"/>
        </w:rPr>
      </w:pPr>
    </w:p>
    <w:p w:rsidR="00485F4A" w:rsidRDefault="00485F4A" w:rsidP="00485F4A">
      <w:pPr>
        <w:spacing w:line="520" w:lineRule="exact"/>
        <w:ind w:firstLineChars="200" w:firstLine="640"/>
        <w:rPr>
          <w:rFonts w:ascii="仿宋_GB2312" w:eastAsia="仿宋_GB2312" w:hAnsi="仿宋_GB2312" w:cs="仿宋_GB2312"/>
          <w:sz w:val="32"/>
          <w:szCs w:val="32"/>
        </w:rPr>
      </w:pPr>
    </w:p>
    <w:p w:rsidR="00485F4A" w:rsidRDefault="00485F4A" w:rsidP="00485F4A">
      <w:pPr>
        <w:spacing w:line="520" w:lineRule="exact"/>
        <w:ind w:firstLineChars="200" w:firstLine="640"/>
        <w:rPr>
          <w:rFonts w:ascii="仿宋_GB2312" w:eastAsia="仿宋_GB2312" w:hAnsi="仿宋_GB2312" w:cs="仿宋_GB2312"/>
          <w:sz w:val="32"/>
          <w:szCs w:val="32"/>
        </w:rPr>
      </w:pPr>
    </w:p>
    <w:p w:rsidR="00485F4A" w:rsidRDefault="00485F4A" w:rsidP="00485F4A">
      <w:pPr>
        <w:spacing w:line="52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××人民政府                ××公司/集团</w:t>
      </w:r>
    </w:p>
    <w:p w:rsidR="00485F4A" w:rsidRDefault="00485F4A" w:rsidP="00485F4A">
      <w:pPr>
        <w:spacing w:line="52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二○一七年  月  日             二○一七年  月  日</w:t>
      </w:r>
      <w:bookmarkEnd w:id="0"/>
      <w:bookmarkEnd w:id="1"/>
    </w:p>
    <w:p w:rsidR="00485F4A" w:rsidRDefault="00485F4A" w:rsidP="00485F4A">
      <w:pPr>
        <w:spacing w:line="520" w:lineRule="exact"/>
        <w:ind w:firstLineChars="200" w:firstLine="640"/>
        <w:rPr>
          <w:rFonts w:ascii="仿宋_GB2312" w:eastAsia="仿宋_GB2312" w:hAnsi="仿宋_GB2312" w:cs="仿宋_GB2312"/>
          <w:sz w:val="32"/>
          <w:szCs w:val="32"/>
        </w:rPr>
      </w:pPr>
    </w:p>
    <w:p w:rsidR="00485F4A" w:rsidRPr="000F01D0" w:rsidRDefault="00485F4A" w:rsidP="00485F4A">
      <w:pPr>
        <w:spacing w:line="520" w:lineRule="exact"/>
        <w:jc w:val="center"/>
        <w:rPr>
          <w:rFonts w:ascii="仿宋_GB2312" w:eastAsia="仿宋_GB2312" w:hint="eastAsia"/>
          <w:sz w:val="32"/>
        </w:rPr>
      </w:pPr>
    </w:p>
    <w:p w:rsidR="00485F4A" w:rsidRDefault="00485F4A" w:rsidP="00485F4A">
      <w:pPr>
        <w:spacing w:line="520" w:lineRule="exact"/>
        <w:rPr>
          <w:rFonts w:ascii="仿宋_GB2312" w:eastAsia="仿宋_GB2312"/>
          <w:sz w:val="32"/>
        </w:rPr>
      </w:pPr>
    </w:p>
    <w:p w:rsidR="00485F4A" w:rsidRDefault="00485F4A" w:rsidP="00485F4A">
      <w:pPr>
        <w:spacing w:line="520" w:lineRule="exact"/>
        <w:rPr>
          <w:rFonts w:ascii="仿宋_GB2312" w:eastAsia="仿宋_GB2312" w:hint="eastAsia"/>
          <w:sz w:val="32"/>
        </w:rPr>
      </w:pPr>
      <w:r>
        <w:rPr>
          <w:rFonts w:hint="eastAsia"/>
        </w:rPr>
        <w:pict>
          <v:shapetype id="_x0000_t32" coordsize="21600,21600" o:spt="32" o:oned="t" path="m,l21600,21600e" filled="f">
            <v:path arrowok="t" fillok="f" o:connecttype="none"/>
            <o:lock v:ext="edit" shapetype="t"/>
          </v:shapetype>
          <v:shape id="_x0000_s2050" type="#_x0000_t32" style="position:absolute;left:0;text-align:left;margin-left:3.1pt;margin-top:26.25pt;width:6in;height:1.5pt;flip:y;z-index:251660288" o:connectortype="straight"/>
        </w:pict>
      </w:r>
      <w:r>
        <w:rPr>
          <w:rFonts w:hint="eastAsia"/>
        </w:rPr>
        <w:pict>
          <v:shape id="_x0000_s2051" type="#_x0000_t32" style="position:absolute;left:0;text-align:left;margin-left:3.1pt;margin-top:57pt;width:6in;height:1.5pt;flip:y;z-index:251661312" o:connectortype="straight"/>
        </w:pict>
      </w:r>
    </w:p>
    <w:p w:rsidR="004F3BA5" w:rsidRDefault="00485F4A" w:rsidP="00485F4A">
      <w:pPr>
        <w:rPr>
          <w:rFonts w:hint="eastAsia"/>
        </w:rPr>
      </w:pPr>
      <w:r>
        <w:rPr>
          <w:rFonts w:ascii="仿宋_GB2312" w:eastAsia="仿宋_GB2312" w:hint="eastAsia"/>
          <w:sz w:val="28"/>
          <w:szCs w:val="28"/>
        </w:rPr>
        <w:t xml:space="preserve">  无锡市环境保护局办公室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2017</w:t>
      </w:r>
      <w:r>
        <w:rPr>
          <w:rFonts w:ascii="仿宋_GB2312" w:eastAsia="仿宋_GB2312" w:hint="eastAsia"/>
          <w:sz w:val="28"/>
          <w:szCs w:val="28"/>
        </w:rPr>
        <w:t xml:space="preserve">年12月19日印发　</w:t>
      </w:r>
    </w:p>
    <w:sectPr w:rsidR="004F3B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BA5" w:rsidRDefault="004F3BA5" w:rsidP="00485F4A">
      <w:r>
        <w:separator/>
      </w:r>
    </w:p>
  </w:endnote>
  <w:endnote w:type="continuationSeparator" w:id="1">
    <w:p w:rsidR="004F3BA5" w:rsidRDefault="004F3BA5" w:rsidP="00485F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BA5" w:rsidRDefault="004F3BA5" w:rsidP="00485F4A">
      <w:r>
        <w:separator/>
      </w:r>
    </w:p>
  </w:footnote>
  <w:footnote w:type="continuationSeparator" w:id="1">
    <w:p w:rsidR="004F3BA5" w:rsidRDefault="004F3BA5" w:rsidP="00485F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F4A"/>
    <w:rsid w:val="00485F4A"/>
    <w:rsid w:val="004F3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F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5F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85F4A"/>
    <w:rPr>
      <w:sz w:val="18"/>
      <w:szCs w:val="18"/>
    </w:rPr>
  </w:style>
  <w:style w:type="paragraph" w:styleId="a4">
    <w:name w:val="footer"/>
    <w:basedOn w:val="a"/>
    <w:link w:val="Char0"/>
    <w:uiPriority w:val="99"/>
    <w:semiHidden/>
    <w:unhideWhenUsed/>
    <w:rsid w:val="00485F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85F4A"/>
    <w:rPr>
      <w:sz w:val="18"/>
      <w:szCs w:val="18"/>
    </w:rPr>
  </w:style>
  <w:style w:type="paragraph" w:customStyle="1" w:styleId="1">
    <w:name w:val="标题1"/>
    <w:basedOn w:val="a"/>
    <w:next w:val="a"/>
    <w:qFormat/>
    <w:rsid w:val="00485F4A"/>
    <w:pPr>
      <w:tabs>
        <w:tab w:val="left" w:pos="9193"/>
        <w:tab w:val="left" w:pos="9827"/>
      </w:tabs>
      <w:spacing w:line="700" w:lineRule="atLeast"/>
      <w:jc w:val="center"/>
    </w:pPr>
    <w:rPr>
      <w:rFonts w:ascii="Calibri" w:eastAsia="方正小标宋_GBK" w:hAnsi="Calibri"/>
      <w:sz w:val="44"/>
    </w:rPr>
  </w:style>
  <w:style w:type="paragraph" w:customStyle="1" w:styleId="2">
    <w:name w:val="标题2"/>
    <w:basedOn w:val="a"/>
    <w:next w:val="a"/>
    <w:qFormat/>
    <w:rsid w:val="00485F4A"/>
    <w:pPr>
      <w:jc w:val="center"/>
    </w:pPr>
    <w:rPr>
      <w:rFonts w:ascii="Calibri" w:eastAsia="方正楷体_GBK"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511</Words>
  <Characters>2913</Characters>
  <Application>Microsoft Office Word</Application>
  <DocSecurity>0</DocSecurity>
  <Lines>24</Lines>
  <Paragraphs>6</Paragraphs>
  <ScaleCrop>false</ScaleCrop>
  <Company>微软中国</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2018-01-10T02:37:00Z</dcterms:created>
  <dcterms:modified xsi:type="dcterms:W3CDTF">2018-01-10T02:37:00Z</dcterms:modified>
</cp:coreProperties>
</file>